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9967B0" w:rsidTr="008D46C0">
        <w:tc>
          <w:tcPr>
            <w:tcW w:w="5778" w:type="dxa"/>
          </w:tcPr>
          <w:p w:rsidR="00D271A5" w:rsidRPr="009967B0" w:rsidRDefault="00D271A5" w:rsidP="007463A4">
            <w:pPr>
              <w:pStyle w:val="ConsPlusTitle"/>
              <w:ind w:right="-1"/>
              <w:contextualSpacing/>
              <w:jc w:val="both"/>
              <w:rPr>
                <w:rFonts w:ascii="PT Astra Serif" w:hAnsi="PT Astra Serif"/>
                <w:b w:val="0"/>
                <w:sz w:val="26"/>
                <w:szCs w:val="26"/>
              </w:rPr>
            </w:pPr>
          </w:p>
        </w:tc>
        <w:tc>
          <w:tcPr>
            <w:tcW w:w="3969" w:type="dxa"/>
          </w:tcPr>
          <w:p w:rsidR="00D271A5" w:rsidRPr="009967B0" w:rsidRDefault="00D271A5"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УТВЕРЖДЕНО</w:t>
            </w:r>
          </w:p>
          <w:p w:rsidR="00D271A5" w:rsidRPr="009967B0" w:rsidRDefault="00D271A5"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Постановлением Администрации Томской области</w:t>
            </w:r>
          </w:p>
          <w:p w:rsidR="00D271A5" w:rsidRPr="009967B0" w:rsidRDefault="00D271A5"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от                        2021 г. №</w:t>
            </w:r>
          </w:p>
        </w:tc>
      </w:tr>
    </w:tbl>
    <w:p w:rsidR="00D271A5" w:rsidRPr="009967B0" w:rsidRDefault="00D271A5" w:rsidP="007463A4">
      <w:pPr>
        <w:pStyle w:val="ConsPlusTitle"/>
        <w:ind w:right="-1"/>
        <w:contextualSpacing/>
        <w:jc w:val="center"/>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Положение</w:t>
      </w:r>
    </w:p>
    <w:p w:rsidR="007463A4" w:rsidRPr="009967B0" w:rsidRDefault="000B2AD2"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о</w:t>
      </w:r>
      <w:r w:rsidR="007463A4" w:rsidRPr="009967B0">
        <w:rPr>
          <w:rFonts w:ascii="PT Astra Serif" w:hAnsi="PT Astra Serif"/>
          <w:b w:val="0"/>
          <w:sz w:val="26"/>
          <w:szCs w:val="26"/>
        </w:rPr>
        <w:t xml:space="preserve"> региональном государственном геологическом контроле (надзоре)</w:t>
      </w:r>
    </w:p>
    <w:p w:rsidR="000B2AD2" w:rsidRPr="009967B0" w:rsidRDefault="000B2AD2"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на территории Томской области</w:t>
      </w:r>
    </w:p>
    <w:p w:rsidR="007463A4" w:rsidRPr="009967B0" w:rsidRDefault="007463A4" w:rsidP="007463A4">
      <w:pPr>
        <w:pStyle w:val="ConsPlusTitle"/>
        <w:ind w:right="-1"/>
        <w:contextualSpacing/>
        <w:jc w:val="center"/>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I. Общие положения</w:t>
      </w:r>
    </w:p>
    <w:p w:rsidR="007463A4" w:rsidRPr="009967B0" w:rsidRDefault="007463A4" w:rsidP="00253B3B">
      <w:pPr>
        <w:pStyle w:val="ConsPlusTitle"/>
        <w:ind w:right="-1" w:firstLine="709"/>
        <w:contextualSpacing/>
        <w:jc w:val="both"/>
        <w:rPr>
          <w:rFonts w:ascii="PT Astra Serif" w:hAnsi="PT Astra Serif"/>
          <w:b w:val="0"/>
          <w:sz w:val="26"/>
          <w:szCs w:val="26"/>
        </w:rPr>
      </w:pP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Настоящее Положение устанавливает порядок организации и осуществления регионального государственного геологического контроля (надзора)</w:t>
      </w:r>
      <w:r w:rsidR="000B2AD2" w:rsidRPr="009967B0">
        <w:rPr>
          <w:rFonts w:ascii="PT Astra Serif" w:hAnsi="PT Astra Serif"/>
          <w:b w:val="0"/>
          <w:sz w:val="26"/>
          <w:szCs w:val="26"/>
        </w:rPr>
        <w:t xml:space="preserve"> на территории Томской области</w:t>
      </w:r>
      <w:r w:rsidRPr="009967B0">
        <w:rPr>
          <w:rFonts w:ascii="PT Astra Serif" w:hAnsi="PT Astra Serif"/>
          <w:b w:val="0"/>
          <w:sz w:val="26"/>
          <w:szCs w:val="26"/>
        </w:rPr>
        <w:t>.</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Предметом регионального государственного геологического контроля (надзора) является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Законом Российской Федерации от 21 февраля 1992 года № 2395-I «О недрах»,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Региональный государственный геологический контроль (надзор) на территории Томской области осуществляет Департамент природных ресурсов и охраны окружающей среды Томской области (далее - Департамент).</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 xml:space="preserve">Должностными лицами, уполномоченными на осуществление регионального государственного геологического контроля (надзора) являются: </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государственные гражданские служащие Департамента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7463A4" w:rsidRPr="009967B0" w:rsidRDefault="007463A4" w:rsidP="00253B3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 xml:space="preserve">К отношениям, связанным с осуществлением регионального государственного экологического контроля (надзора), применяются положения </w:t>
      </w:r>
      <w:r w:rsidRPr="009967B0">
        <w:rPr>
          <w:rFonts w:ascii="PT Astra Serif" w:hAnsi="PT Astra Serif"/>
          <w:b w:val="0"/>
          <w:sz w:val="26"/>
          <w:szCs w:val="26"/>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Объекты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7.</w:t>
      </w:r>
      <w:r w:rsidRPr="009967B0">
        <w:rPr>
          <w:rFonts w:ascii="PT Astra Serif" w:hAnsi="PT Astra Serif"/>
          <w:b w:val="0"/>
          <w:sz w:val="26"/>
          <w:szCs w:val="26"/>
        </w:rPr>
        <w:tab/>
        <w:t>Департамент осуществляет региональный государственный геологический контроль (надзор) в отношении следующих объектов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деятельность, действия (бездействие) граждан и организаций, в рамках которых должны соблюдаться обязательные требования;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здания, помещения, сооружения, линейные объекты, территории, включая водные, земельные и лесные участки, участки недр местного значения, оборудование, устройства, предметы, материалы, транспортные средства, компоненты природной среды, природные и природно-антропогенные объекты и другие объекты, в том числе объекты, оказывающие негативное воздействие на окружающую среду (далее – объекты негативного воздействия), которыми граждане и организации владеют и (или) пользуются;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компоненты природной среды, природные и природно-антропогенные объекты.</w:t>
      </w:r>
    </w:p>
    <w:p w:rsidR="00FF5972"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8.</w:t>
      </w:r>
      <w:r w:rsidRPr="009967B0">
        <w:rPr>
          <w:rFonts w:ascii="PT Astra Serif" w:hAnsi="PT Astra Serif"/>
          <w:b w:val="0"/>
          <w:sz w:val="26"/>
          <w:szCs w:val="26"/>
        </w:rPr>
        <w:tab/>
      </w:r>
      <w:r w:rsidR="00FF5972" w:rsidRPr="009967B0">
        <w:rPr>
          <w:rFonts w:ascii="PT Astra Serif" w:hAnsi="PT Astra Serif"/>
          <w:b w:val="0"/>
          <w:sz w:val="26"/>
          <w:szCs w:val="26"/>
        </w:rPr>
        <w:t>При сборе, обработке, анализе и учете сведений об объектах регионального геологического контроля (надзора) для целей их учета Департамент использует информацию, содержащуюся в федеральной государственной информационной системе «Автоматизированная система лицензирования недропользования».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Учет объектов контроля, относящихся в соответствии с Федеральным законом от 10 января 2002 года № 7-ФЗ «Об охране окружающей среды» к объектам, оказывающим негативное воздействие на окружающую среду, обеспечивается при ведении государственного реестра объектов, оказывающих негативное воздействие на окружающую среду.</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II. Управление рисками причинения вреда (ущерба) охраняемым законом</w:t>
      </w: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ценностям при осуществлении регионального государственного геологического контроля (надзора)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9.</w:t>
      </w:r>
      <w:r w:rsidRPr="009967B0">
        <w:rPr>
          <w:rFonts w:ascii="PT Astra Serif" w:hAnsi="PT Astra Serif"/>
          <w:b w:val="0"/>
          <w:sz w:val="26"/>
          <w:szCs w:val="26"/>
        </w:rPr>
        <w:tab/>
        <w:t>При осуществлении регионального государственного геологического контроля (надзора) применяется система оценки и управления рисками.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10.</w:t>
      </w:r>
      <w:r w:rsidRPr="009967B0">
        <w:rPr>
          <w:rFonts w:ascii="PT Astra Serif" w:hAnsi="PT Astra Serif"/>
          <w:b w:val="0"/>
          <w:sz w:val="26"/>
          <w:szCs w:val="26"/>
        </w:rPr>
        <w:tab/>
        <w:t>Департамент при осуществлении регионального государственного геологического контроля (надзора) относит объекты контроля к одной из следующих категорий риска причинения вреда (ущерба) (далее - категории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значительный риск;</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средний риск;</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умеренный риск;</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низкий риск.</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Критерии отнесения объектов регионального государственного геологического контроля (надзора) к категориям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11.</w:t>
      </w:r>
      <w:r w:rsidRPr="009967B0">
        <w:rPr>
          <w:rFonts w:ascii="PT Astra Serif" w:hAnsi="PT Astra Serif"/>
          <w:b w:val="0"/>
          <w:sz w:val="26"/>
          <w:szCs w:val="26"/>
        </w:rPr>
        <w:tab/>
        <w:t xml:space="preserve">Отнесение объектов контроля к определенной категории риска осуществляется на основании сопоставления их характеристик с критериями </w:t>
      </w:r>
      <w:r w:rsidRPr="009967B0">
        <w:rPr>
          <w:rFonts w:ascii="PT Astra Serif" w:hAnsi="PT Astra Serif"/>
          <w:b w:val="0"/>
          <w:sz w:val="26"/>
          <w:szCs w:val="26"/>
        </w:rPr>
        <w:lastRenderedPageBreak/>
        <w:t>отнесения объектов контроля к категориям риска согласно приложению к настоящему Положению.</w:t>
      </w:r>
    </w:p>
    <w:p w:rsidR="007463A4" w:rsidRPr="009967B0" w:rsidRDefault="007463A4" w:rsidP="007463A4">
      <w:pPr>
        <w:pStyle w:val="ConsPlusTitle"/>
        <w:ind w:right="-1" w:firstLine="567"/>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Учет рисков причинения вреда (ущерба) охраняемым законом ценностям</w:t>
      </w: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при проведении контрольных (надзорных) мероприятий</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12.</w:t>
      </w:r>
      <w:r w:rsidRPr="009967B0">
        <w:rPr>
          <w:rFonts w:ascii="PT Astra Serif" w:hAnsi="PT Astra Serif"/>
          <w:b w:val="0"/>
          <w:sz w:val="26"/>
          <w:szCs w:val="26"/>
        </w:rPr>
        <w:tab/>
        <w:t>Департамент может проводить следующие виды плановых контрольных (надзорных) мероприятий: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инспекционный визит;</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рейдовый 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документарная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выездная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 xml:space="preserve">для категории значительного риска </w:t>
      </w:r>
      <w:r w:rsidR="004F7085" w:rsidRPr="009967B0">
        <w:rPr>
          <w:rFonts w:ascii="PT Astra Serif" w:hAnsi="PT Astra Serif"/>
          <w:b w:val="0"/>
          <w:sz w:val="26"/>
          <w:szCs w:val="26"/>
        </w:rPr>
        <w:t>–</w:t>
      </w:r>
      <w:r w:rsidRPr="009967B0">
        <w:rPr>
          <w:rFonts w:ascii="PT Astra Serif" w:hAnsi="PT Astra Serif"/>
          <w:b w:val="0"/>
          <w:sz w:val="26"/>
          <w:szCs w:val="26"/>
        </w:rPr>
        <w:t xml:space="preserve"> </w:t>
      </w:r>
      <w:r w:rsidR="004F7085" w:rsidRPr="009967B0">
        <w:rPr>
          <w:rFonts w:ascii="PT Astra Serif" w:hAnsi="PT Astra Serif"/>
          <w:b w:val="0"/>
          <w:sz w:val="26"/>
          <w:szCs w:val="26"/>
        </w:rPr>
        <w:t>1 раз в 3 года</w:t>
      </w:r>
      <w:r w:rsidRPr="009967B0">
        <w:rPr>
          <w:rFonts w:ascii="PT Astra Serif" w:hAnsi="PT Astra Serif"/>
          <w:b w:val="0"/>
          <w:sz w:val="26"/>
          <w:szCs w:val="26"/>
        </w:rPr>
        <w:t>;</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 xml:space="preserve">для категории среднего риска – </w:t>
      </w:r>
      <w:r w:rsidR="004F7085" w:rsidRPr="009967B0">
        <w:rPr>
          <w:rFonts w:ascii="PT Astra Serif" w:hAnsi="PT Astra Serif"/>
          <w:b w:val="0"/>
          <w:sz w:val="26"/>
          <w:szCs w:val="26"/>
        </w:rPr>
        <w:t>1 раз в 4 года</w:t>
      </w:r>
      <w:r w:rsidRPr="009967B0">
        <w:rPr>
          <w:rFonts w:ascii="PT Astra Serif" w:hAnsi="PT Astra Serif"/>
          <w:b w:val="0"/>
          <w:sz w:val="26"/>
          <w:szCs w:val="26"/>
        </w:rPr>
        <w:t>;</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 xml:space="preserve">для категории умеренного риска – </w:t>
      </w:r>
      <w:r w:rsidR="004F7085" w:rsidRPr="009967B0">
        <w:rPr>
          <w:rFonts w:ascii="PT Astra Serif" w:hAnsi="PT Astra Serif"/>
          <w:b w:val="0"/>
          <w:sz w:val="26"/>
          <w:szCs w:val="26"/>
        </w:rPr>
        <w:t>1 раз в 5 лет</w:t>
      </w:r>
      <w:r w:rsidRPr="009967B0">
        <w:rPr>
          <w:rFonts w:ascii="PT Astra Serif" w:hAnsi="PT Astra Serif"/>
          <w:b w:val="0"/>
          <w:sz w:val="26"/>
          <w:szCs w:val="26"/>
        </w:rPr>
        <w:t>.</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061CC6"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III. Профилактика рисков причи</w:t>
      </w:r>
      <w:r w:rsidR="00061CC6" w:rsidRPr="009967B0">
        <w:rPr>
          <w:rFonts w:ascii="PT Astra Serif" w:hAnsi="PT Astra Serif"/>
          <w:b w:val="0"/>
          <w:sz w:val="26"/>
          <w:szCs w:val="26"/>
        </w:rPr>
        <w:t>нения вреда (ущерба) охраняемым</w:t>
      </w: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законом ценностям</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13.</w:t>
      </w:r>
      <w:r w:rsidRPr="009967B0">
        <w:rPr>
          <w:rFonts w:ascii="PT Astra Serif" w:hAnsi="PT Astra Serif"/>
          <w:b w:val="0"/>
          <w:sz w:val="26"/>
          <w:szCs w:val="26"/>
        </w:rPr>
        <w:tab/>
        <w:t>Департамент может проводить следующие профилактические мероприятия: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информирование;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обобщение правоприменительной практики;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объявление предостережения;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консультирование;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профилактический визит.</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Информирование</w:t>
      </w:r>
    </w:p>
    <w:p w:rsidR="007463A4" w:rsidRPr="009967B0" w:rsidRDefault="007463A4" w:rsidP="007463A4">
      <w:pPr>
        <w:pStyle w:val="ConsPlusTitle"/>
        <w:ind w:right="-1"/>
        <w:contextualSpacing/>
        <w:jc w:val="center"/>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14.</w:t>
      </w:r>
      <w:r w:rsidRPr="009967B0">
        <w:rPr>
          <w:rFonts w:ascii="PT Astra Serif" w:hAnsi="PT Astra Serif"/>
          <w:b w:val="0"/>
          <w:sz w:val="26"/>
          <w:szCs w:val="26"/>
        </w:rPr>
        <w:tab/>
        <w:t xml:space="preserve">Информирование осуществляется посредством размещения </w:t>
      </w:r>
      <w:r w:rsidR="000F2C90" w:rsidRPr="009967B0">
        <w:rPr>
          <w:rFonts w:ascii="PT Astra Serif" w:hAnsi="PT Astra Serif"/>
          <w:b w:val="0"/>
          <w:sz w:val="26"/>
          <w:szCs w:val="26"/>
        </w:rPr>
        <w:t xml:space="preserve">соответствующих сведений </w:t>
      </w:r>
      <w:r w:rsidRPr="009967B0">
        <w:rPr>
          <w:rFonts w:ascii="PT Astra Serif" w:hAnsi="PT Astra Serif"/>
          <w:b w:val="0"/>
          <w:sz w:val="26"/>
          <w:szCs w:val="26"/>
        </w:rPr>
        <w:t xml:space="preserve">на официальном сайте Департамента в </w:t>
      </w:r>
      <w:r w:rsidR="000F2C90" w:rsidRPr="009967B0">
        <w:rPr>
          <w:rFonts w:ascii="PT Astra Serif" w:hAnsi="PT Astra Serif"/>
          <w:b w:val="0"/>
          <w:sz w:val="26"/>
          <w:szCs w:val="26"/>
        </w:rPr>
        <w:t xml:space="preserve">информационно-телекоммуникационной </w:t>
      </w:r>
      <w:r w:rsidRPr="009967B0">
        <w:rPr>
          <w:rFonts w:ascii="PT Astra Serif" w:hAnsi="PT Astra Serif"/>
          <w:b w:val="0"/>
          <w:sz w:val="26"/>
          <w:szCs w:val="26"/>
        </w:rPr>
        <w:t>сети «Интернет»:</w:t>
      </w:r>
      <w:r w:rsidR="000F2C90" w:rsidRPr="009967B0">
        <w:rPr>
          <w:rFonts w:ascii="PT Astra Serif" w:hAnsi="PT Astra Serif"/>
          <w:b w:val="0"/>
          <w:sz w:val="26"/>
          <w:szCs w:val="26"/>
        </w:rPr>
        <w:t xml:space="preserve"> </w:t>
      </w:r>
      <w:hyperlink r:id="rId8" w:history="1">
        <w:r w:rsidR="000F2C90" w:rsidRPr="009967B0">
          <w:rPr>
            <w:rStyle w:val="ab"/>
            <w:rFonts w:ascii="PT Astra Serif" w:hAnsi="PT Astra Serif"/>
            <w:b w:val="0"/>
            <w:color w:val="auto"/>
            <w:sz w:val="26"/>
            <w:szCs w:val="26"/>
            <w:u w:val="none"/>
          </w:rPr>
          <w:t>https://depnature.tomsk.gov.ru</w:t>
        </w:r>
      </w:hyperlink>
      <w:r w:rsidR="000F2C90" w:rsidRPr="009967B0">
        <w:rPr>
          <w:rFonts w:ascii="PT Astra Serif" w:hAnsi="PT Astra Serif"/>
          <w:b w:val="0"/>
          <w:sz w:val="26"/>
          <w:szCs w:val="26"/>
        </w:rPr>
        <w:t xml:space="preserve">, в средствах массовой информации, </w:t>
      </w:r>
      <w:r w:rsidRPr="009967B0">
        <w:rPr>
          <w:rFonts w:ascii="PT Astra Serif" w:hAnsi="PT Astra Serif"/>
          <w:b w:val="0"/>
          <w:sz w:val="26"/>
          <w:szCs w:val="26"/>
        </w:rPr>
        <w:t>через личные кабинеты контролируемых лиц в государственных информационных системах (при их наличии)</w:t>
      </w:r>
      <w:r w:rsidR="000F2C90" w:rsidRPr="009967B0">
        <w:rPr>
          <w:rFonts w:ascii="PT Astra Serif" w:hAnsi="PT Astra Serif"/>
          <w:b w:val="0"/>
          <w:sz w:val="26"/>
          <w:szCs w:val="26"/>
        </w:rPr>
        <w:t xml:space="preserve"> и в иных формах.</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15.</w:t>
      </w:r>
      <w:r w:rsidRPr="009967B0">
        <w:rPr>
          <w:rFonts w:ascii="PT Astra Serif" w:hAnsi="PT Astra Serif"/>
          <w:b w:val="0"/>
          <w:sz w:val="26"/>
          <w:szCs w:val="26"/>
        </w:rPr>
        <w:tab/>
        <w:t>На официальном сайте Департамента размещается следующая информация: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тексты нормативных правовых актов, регулирующих осуществление регионального государственного геологического контроля (надзора);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геологического контроля (надзора), о сроках и порядке их вступления в силу;</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w:t>
      </w:r>
      <w:r w:rsidR="009B4D17" w:rsidRPr="009967B0">
        <w:rPr>
          <w:rFonts w:ascii="PT Astra Serif" w:hAnsi="PT Astra Serif"/>
          <w:b w:val="0"/>
          <w:sz w:val="26"/>
          <w:szCs w:val="26"/>
        </w:rPr>
        <w:t>геологического</w:t>
      </w:r>
      <w:r w:rsidRPr="009967B0">
        <w:rPr>
          <w:rFonts w:ascii="PT Astra Serif" w:hAnsi="PT Astra Serif"/>
          <w:b w:val="0"/>
          <w:sz w:val="26"/>
          <w:szCs w:val="26"/>
        </w:rPr>
        <w:t xml:space="preserve">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lastRenderedPageBreak/>
        <w:t>4)</w:t>
      </w:r>
      <w:r w:rsidRPr="009967B0">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7)</w:t>
      </w:r>
      <w:r w:rsidRPr="009967B0">
        <w:rPr>
          <w:rFonts w:ascii="PT Astra Serif" w:hAnsi="PT Astra Serif"/>
          <w:b w:val="0"/>
          <w:sz w:val="26"/>
          <w:szCs w:val="26"/>
        </w:rPr>
        <w:tab/>
        <w:t>перечень объектов контроля с указанием категории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8)</w:t>
      </w:r>
      <w:r w:rsidRPr="009967B0">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9)</w:t>
      </w:r>
      <w:r w:rsidRPr="009967B0">
        <w:rPr>
          <w:rFonts w:ascii="PT Astra Serif" w:hAnsi="PT Astra Serif"/>
          <w:b w:val="0"/>
          <w:sz w:val="26"/>
          <w:szCs w:val="26"/>
        </w:rPr>
        <w:tab/>
        <w:t>исчерпывающий перечень сведений, которые могут запрашиваться Департаментом у контролируемого лица;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10)</w:t>
      </w:r>
      <w:r w:rsidRPr="009967B0">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11)</w:t>
      </w:r>
      <w:r w:rsidRPr="009967B0">
        <w:rPr>
          <w:rFonts w:ascii="PT Astra Serif" w:hAnsi="PT Astra Serif"/>
          <w:b w:val="0"/>
          <w:sz w:val="26"/>
          <w:szCs w:val="26"/>
        </w:rPr>
        <w:tab/>
        <w:t>сведения о порядке досудебного обжалования решений Департамента, действий (бездействия) его должностных лиц;</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12)</w:t>
      </w:r>
      <w:r w:rsidRPr="009967B0">
        <w:rPr>
          <w:rFonts w:ascii="PT Astra Serif" w:hAnsi="PT Astra Serif"/>
          <w:b w:val="0"/>
          <w:sz w:val="26"/>
          <w:szCs w:val="26"/>
        </w:rPr>
        <w:tab/>
        <w:t>доклады, содержащие результаты обобщения правоприменительной практики Департамента;</w:t>
      </w:r>
    </w:p>
    <w:p w:rsidR="007463A4" w:rsidRPr="009967B0" w:rsidRDefault="007463A4" w:rsidP="00E5072D">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13)</w:t>
      </w:r>
      <w:r w:rsidRPr="009967B0">
        <w:rPr>
          <w:rFonts w:ascii="PT Astra Serif" w:hAnsi="PT Astra Serif"/>
          <w:b w:val="0"/>
          <w:sz w:val="26"/>
          <w:szCs w:val="26"/>
        </w:rPr>
        <w:tab/>
        <w:t>доклады о региональном государственном</w:t>
      </w:r>
      <w:r w:rsidR="009B4D17" w:rsidRPr="009967B0">
        <w:rPr>
          <w:rFonts w:ascii="PT Astra Serif" w:hAnsi="PT Astra Serif"/>
          <w:b w:val="0"/>
          <w:sz w:val="26"/>
          <w:szCs w:val="26"/>
        </w:rPr>
        <w:t xml:space="preserve"> </w:t>
      </w:r>
      <w:r w:rsidRPr="009967B0">
        <w:rPr>
          <w:rFonts w:ascii="PT Astra Serif" w:hAnsi="PT Astra Serif"/>
          <w:b w:val="0"/>
          <w:sz w:val="26"/>
          <w:szCs w:val="26"/>
        </w:rPr>
        <w:t>г</w:t>
      </w:r>
      <w:r w:rsidR="00E5072D" w:rsidRPr="009967B0">
        <w:rPr>
          <w:rFonts w:ascii="PT Astra Serif" w:hAnsi="PT Astra Serif"/>
          <w:b w:val="0"/>
          <w:sz w:val="26"/>
          <w:szCs w:val="26"/>
        </w:rPr>
        <w:t>еологическом контроле (надзоре).</w:t>
      </w: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Обобщение правоприменительной практики</w:t>
      </w:r>
    </w:p>
    <w:p w:rsidR="007463A4" w:rsidRPr="009967B0" w:rsidRDefault="007463A4" w:rsidP="007463A4">
      <w:pPr>
        <w:pStyle w:val="ConsPlusTitle"/>
        <w:ind w:right="-1" w:firstLine="567"/>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16.</w:t>
      </w:r>
      <w:r w:rsidRPr="009967B0">
        <w:rPr>
          <w:rFonts w:ascii="PT Astra Serif" w:hAnsi="PT Astra Serif"/>
          <w:b w:val="0"/>
          <w:sz w:val="26"/>
          <w:szCs w:val="26"/>
        </w:rPr>
        <w:tab/>
        <w:t>Доклад о правоприменительной практике готовится не позднее 1 апреля года, следующего за отчетным годом.</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17.</w:t>
      </w:r>
      <w:r w:rsidRPr="009967B0">
        <w:rPr>
          <w:rFonts w:ascii="PT Astra Serif" w:hAnsi="PT Astra Serif"/>
          <w:b w:val="0"/>
          <w:sz w:val="26"/>
          <w:szCs w:val="26"/>
        </w:rPr>
        <w:tab/>
        <w:t>Доклад о правоприменительной практике утверждается распоряжением руководителя</w:t>
      </w:r>
      <w:r w:rsidR="007B78E4" w:rsidRPr="009967B0">
        <w:rPr>
          <w:rFonts w:ascii="PT Astra Serif" w:hAnsi="PT Astra Serif"/>
          <w:b w:val="0"/>
          <w:sz w:val="26"/>
          <w:szCs w:val="26"/>
        </w:rPr>
        <w:t xml:space="preserve"> </w:t>
      </w:r>
      <w:r w:rsidRPr="009967B0">
        <w:rPr>
          <w:rFonts w:ascii="PT Astra Serif" w:hAnsi="PT Astra Serif"/>
          <w:b w:val="0"/>
          <w:sz w:val="26"/>
          <w:szCs w:val="26"/>
        </w:rPr>
        <w:t>Департамента и размещается на официальном сайте в сети «Интернет» в срок до 1 апреля года, следующего за отчетным годом.</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Объявление предостережения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18.</w:t>
      </w:r>
      <w:r w:rsidRPr="009967B0">
        <w:rPr>
          <w:rFonts w:ascii="PT Astra Serif" w:hAnsi="PT Astra Serif"/>
          <w:b w:val="0"/>
          <w:sz w:val="26"/>
          <w:szCs w:val="26"/>
        </w:rPr>
        <w:tab/>
        <w:t>Контролируемое лицо вправе после получения предостережения о недопустимости нарушения обязательных требований подать в Департамент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Департаментом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Консультирование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19.</w:t>
      </w:r>
      <w:r w:rsidRPr="009967B0">
        <w:rPr>
          <w:rFonts w:ascii="PT Astra Serif" w:hAnsi="PT Astra Serif"/>
          <w:b w:val="0"/>
          <w:sz w:val="26"/>
          <w:szCs w:val="26"/>
        </w:rPr>
        <w:tab/>
        <w:t>Консультирование осуществляется должностными лицами Департамента по телефону, посредством видеоконференцсвязи, на личном приеме в часы работы Департамента,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20.</w:t>
      </w:r>
      <w:r w:rsidRPr="009967B0">
        <w:rPr>
          <w:rFonts w:ascii="PT Astra Serif" w:hAnsi="PT Astra Serif"/>
          <w:b w:val="0"/>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lastRenderedPageBreak/>
        <w:t>21.</w:t>
      </w:r>
      <w:r w:rsidRPr="009967B0">
        <w:rPr>
          <w:rFonts w:ascii="PT Astra Serif" w:hAnsi="PT Astra Serif"/>
          <w:b w:val="0"/>
          <w:sz w:val="26"/>
          <w:szCs w:val="26"/>
        </w:rPr>
        <w:tab/>
        <w:t>Консультирование, в том числе письменное, осуществляется по вопросам соблюдения обязательных требований в области охраны окружающей среды.</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22.</w:t>
      </w:r>
      <w:r w:rsidRPr="009967B0">
        <w:rPr>
          <w:rFonts w:ascii="PT Astra Serif" w:hAnsi="PT Astra Serif"/>
          <w:b w:val="0"/>
          <w:sz w:val="26"/>
          <w:szCs w:val="26"/>
        </w:rPr>
        <w:tab/>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Департамента в сети «Интернет» письменного разъяснения, подписанного заместителем начальника Департамента – председателем комитета государственного экологического надзора.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Профилактический визит</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23.</w:t>
      </w:r>
      <w:r w:rsidRPr="009967B0">
        <w:rPr>
          <w:rFonts w:ascii="PT Astra Serif" w:hAnsi="PT Astra Serif"/>
          <w:b w:val="0"/>
          <w:sz w:val="26"/>
          <w:szCs w:val="26"/>
        </w:rPr>
        <w:tab/>
        <w:t>Обязательные профилактические визиты проводятся в отношении: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 объектов контроля, отнесенных к категории значительного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категории значительного риска.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24.</w:t>
      </w:r>
      <w:r w:rsidRPr="009967B0">
        <w:rPr>
          <w:rFonts w:ascii="PT Astra Serif" w:hAnsi="PT Astra Serif"/>
          <w:b w:val="0"/>
          <w:sz w:val="26"/>
          <w:szCs w:val="26"/>
        </w:rPr>
        <w:tab/>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25.</w:t>
      </w:r>
      <w:r w:rsidRPr="009967B0">
        <w:rPr>
          <w:rFonts w:ascii="PT Astra Serif" w:hAnsi="PT Astra Serif"/>
          <w:b w:val="0"/>
          <w:sz w:val="26"/>
          <w:szCs w:val="26"/>
        </w:rPr>
        <w:tab/>
        <w:t>Контролируемое лицо вправе отказаться от проведения обязательного профилактического визита, уведомив об этом Департамент не позднее чем за 3 рабочих дня до даты его проведения.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26.</w:t>
      </w:r>
      <w:r w:rsidRPr="009967B0">
        <w:rPr>
          <w:rFonts w:ascii="PT Astra Serif" w:hAnsi="PT Astra Serif"/>
          <w:b w:val="0"/>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заместитель начальника Департамента – председатель комитета государственного экологического надзора может продлить срок проведения профилактического визита на срок не более 3 рабочих дней.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начальника Департамента – председателю комитета государственного экологического надзора для принятия решения о проведении контрольных (надзорных) мероприятий.</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IV. Осуществление госу</w:t>
      </w:r>
      <w:r w:rsidR="00061CC6" w:rsidRPr="009967B0">
        <w:rPr>
          <w:rFonts w:ascii="PT Astra Serif" w:hAnsi="PT Astra Serif"/>
          <w:b w:val="0"/>
          <w:sz w:val="26"/>
          <w:szCs w:val="26"/>
        </w:rPr>
        <w:t>дарственного контроля (надзора)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28.</w:t>
      </w:r>
      <w:r w:rsidRPr="009967B0">
        <w:rPr>
          <w:rFonts w:ascii="PT Astra Serif" w:hAnsi="PT Astra Serif"/>
          <w:b w:val="0"/>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773083" w:rsidRPr="009967B0" w:rsidRDefault="007463A4" w:rsidP="00773083">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29.</w:t>
      </w:r>
      <w:r w:rsidRPr="009967B0">
        <w:rPr>
          <w:rFonts w:ascii="PT Astra Serif" w:hAnsi="PT Astra Serif"/>
          <w:b w:val="0"/>
          <w:sz w:val="26"/>
          <w:szCs w:val="26"/>
        </w:rPr>
        <w:tab/>
      </w:r>
      <w:r w:rsidR="00773083" w:rsidRPr="009967B0">
        <w:rPr>
          <w:rFonts w:ascii="PT Astra Serif" w:hAnsi="PT Astra Serif"/>
          <w:b w:val="0"/>
          <w:sz w:val="26"/>
          <w:szCs w:val="26"/>
        </w:rPr>
        <w:t>В отношении объектов надзора, отнесенных к категории низкого риска, плановые контрольные (надзорные) мероприятия не проводятся.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30.</w:t>
      </w:r>
      <w:r w:rsidRPr="009967B0">
        <w:rPr>
          <w:rFonts w:ascii="PT Astra Serif" w:hAnsi="PT Astra Serif"/>
          <w:b w:val="0"/>
          <w:sz w:val="26"/>
          <w:szCs w:val="26"/>
        </w:rPr>
        <w:tab/>
        <w:t>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31.</w:t>
      </w:r>
      <w:r w:rsidRPr="009967B0">
        <w:rPr>
          <w:rFonts w:ascii="PT Astra Serif" w:hAnsi="PT Astra Serif"/>
          <w:b w:val="0"/>
          <w:sz w:val="26"/>
          <w:szCs w:val="26"/>
        </w:rPr>
        <w:tab/>
        <w:t xml:space="preserve">Фотографии, аудио- и видеозаписи, используемые для фиксации </w:t>
      </w:r>
      <w:r w:rsidRPr="009967B0">
        <w:rPr>
          <w:rFonts w:ascii="PT Astra Serif" w:hAnsi="PT Astra Serif"/>
          <w:b w:val="0"/>
          <w:sz w:val="26"/>
          <w:szCs w:val="26"/>
        </w:rPr>
        <w:lastRenderedPageBreak/>
        <w:t>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8C5B6F" w:rsidRPr="009967B0" w:rsidRDefault="007463A4" w:rsidP="008C5B6F">
      <w:pPr>
        <w:autoSpaceDE w:val="0"/>
        <w:autoSpaceDN w:val="0"/>
        <w:adjustRightInd w:val="0"/>
        <w:ind w:firstLine="709"/>
        <w:jc w:val="both"/>
        <w:rPr>
          <w:rFonts w:ascii="PT Astra Serif" w:hAnsi="PT Astra Serif" w:cs="PT Astra Serif"/>
          <w:sz w:val="26"/>
          <w:szCs w:val="26"/>
        </w:rPr>
      </w:pPr>
      <w:r w:rsidRPr="009967B0">
        <w:rPr>
          <w:rFonts w:ascii="PT Astra Serif" w:hAnsi="PT Astra Serif"/>
          <w:sz w:val="26"/>
          <w:szCs w:val="26"/>
        </w:rPr>
        <w:t>32.</w:t>
      </w:r>
      <w:r w:rsidRPr="009967B0">
        <w:rPr>
          <w:rFonts w:ascii="PT Astra Serif" w:hAnsi="PT Astra Serif"/>
          <w:sz w:val="26"/>
          <w:szCs w:val="26"/>
        </w:rPr>
        <w:tab/>
      </w:r>
      <w:r w:rsidR="008C5B6F" w:rsidRPr="009967B0">
        <w:rPr>
          <w:rFonts w:ascii="PT Astra Serif" w:hAnsi="PT Astra Serif" w:cs="PT Astra Serif"/>
          <w:sz w:val="26"/>
          <w:szCs w:val="26"/>
        </w:rPr>
        <w:t>Индивидуальный предприниматель, гражданин, являющиеся контролируемыми лицами, вправе представить в Департамент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Департаментом на срок, необходимый для устранения обстоятельств, послуживших поводом для данного обращения индивидуального предпринимателя, гражданина в Департамент.</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Контрольные (надзорные) мероприятия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33.</w:t>
      </w:r>
      <w:r w:rsidRPr="009967B0">
        <w:rPr>
          <w:rFonts w:ascii="PT Astra Serif" w:hAnsi="PT Astra Serif"/>
          <w:b w:val="0"/>
          <w:sz w:val="26"/>
          <w:szCs w:val="26"/>
        </w:rPr>
        <w:tab/>
        <w:t>Региональный государственный геологический контроль (надзор) осуществляется посредством проведения следующих контрольных (надзорных) мероприятий: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инспекционный визит;</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рейдовый 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документарная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выездная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наблюдение за соблюдением обязательных требований;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выездное обследование.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34.</w:t>
      </w:r>
      <w:r w:rsidRPr="009967B0">
        <w:rPr>
          <w:rFonts w:ascii="PT Astra Serif" w:hAnsi="PT Astra Serif"/>
          <w:b w:val="0"/>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35.</w:t>
      </w:r>
      <w:r w:rsidRPr="009967B0">
        <w:rPr>
          <w:rFonts w:ascii="PT Astra Serif" w:hAnsi="PT Astra Serif"/>
          <w:b w:val="0"/>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Инспекционный визит</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36.</w:t>
      </w:r>
      <w:r w:rsidRPr="009967B0">
        <w:rPr>
          <w:rFonts w:ascii="PT Astra Serif" w:hAnsi="PT Astra Serif"/>
          <w:b w:val="0"/>
          <w:sz w:val="26"/>
          <w:szCs w:val="26"/>
        </w:rPr>
        <w:tab/>
        <w:t>В ходе инспекционного визита могут совершаться следующие контрольные (надзорные) действия: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lastRenderedPageBreak/>
        <w:t>2)</w:t>
      </w:r>
      <w:r w:rsidRPr="009967B0">
        <w:rPr>
          <w:rFonts w:ascii="PT Astra Serif" w:hAnsi="PT Astra Serif"/>
          <w:b w:val="0"/>
          <w:sz w:val="26"/>
          <w:szCs w:val="26"/>
        </w:rPr>
        <w:tab/>
        <w:t>опрос;</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получение письменных объяснений;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инструментальное обследование;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Инспекционный визит проводится без предварительного уведомления контролируемого лица и собственника объекта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37.</w:t>
      </w:r>
      <w:r w:rsidRPr="009967B0">
        <w:rPr>
          <w:rFonts w:ascii="PT Astra Serif" w:hAnsi="PT Astra Serif"/>
          <w:b w:val="0"/>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38.</w:t>
      </w:r>
      <w:r w:rsidRPr="009967B0">
        <w:rPr>
          <w:rFonts w:ascii="PT Astra Serif" w:hAnsi="PT Astra Serif"/>
          <w:b w:val="0"/>
          <w:sz w:val="26"/>
          <w:szCs w:val="26"/>
        </w:rPr>
        <w:tab/>
        <w:t>Контролируемые лица или их представители обязаны обеспечить беспрепятственный доступ инспектора на объект контроля.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39.</w:t>
      </w:r>
      <w:r w:rsidRPr="009967B0">
        <w:rPr>
          <w:rFonts w:ascii="PT Astra Serif" w:hAnsi="PT Astra Serif"/>
          <w:b w:val="0"/>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40.</w:t>
      </w:r>
      <w:r w:rsidRPr="009967B0">
        <w:rPr>
          <w:rFonts w:ascii="PT Astra Serif" w:hAnsi="PT Astra Serif"/>
          <w:b w:val="0"/>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Рейдовый 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41.</w:t>
      </w:r>
      <w:r w:rsidRPr="009967B0">
        <w:rPr>
          <w:rFonts w:ascii="PT Astra Serif" w:hAnsi="PT Astra Serif"/>
          <w:b w:val="0"/>
          <w:sz w:val="26"/>
          <w:szCs w:val="26"/>
        </w:rPr>
        <w:tab/>
        <w:t>В ходе рейдового осмотра могут совершаться следующие контрольные (надзорные) действия: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досмотр;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опрос;</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получение письменных объяснений;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истребование документов;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отбор проб (образцов);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7)</w:t>
      </w:r>
      <w:r w:rsidRPr="009967B0">
        <w:rPr>
          <w:rFonts w:ascii="PT Astra Serif" w:hAnsi="PT Astra Serif"/>
          <w:b w:val="0"/>
          <w:sz w:val="26"/>
          <w:szCs w:val="26"/>
        </w:rPr>
        <w:tab/>
        <w:t>инструментальное обследование;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8)</w:t>
      </w:r>
      <w:r w:rsidRPr="009967B0">
        <w:rPr>
          <w:rFonts w:ascii="PT Astra Serif" w:hAnsi="PT Astra Serif"/>
          <w:b w:val="0"/>
          <w:sz w:val="26"/>
          <w:szCs w:val="26"/>
        </w:rPr>
        <w:tab/>
        <w:t>испытание;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9)</w:t>
      </w:r>
      <w:r w:rsidRPr="009967B0">
        <w:rPr>
          <w:rFonts w:ascii="PT Astra Serif" w:hAnsi="PT Astra Serif"/>
          <w:b w:val="0"/>
          <w:sz w:val="26"/>
          <w:szCs w:val="26"/>
        </w:rPr>
        <w:tab/>
        <w:t>экспертиза.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42.</w:t>
      </w:r>
      <w:r w:rsidRPr="009967B0">
        <w:rPr>
          <w:rFonts w:ascii="PT Astra Serif" w:hAnsi="PT Astra Serif"/>
          <w:b w:val="0"/>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43.</w:t>
      </w:r>
      <w:r w:rsidRPr="009967B0">
        <w:rPr>
          <w:rFonts w:ascii="PT Astra Serif" w:hAnsi="PT Astra Serif"/>
          <w:b w:val="0"/>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Документарная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44.</w:t>
      </w:r>
      <w:r w:rsidRPr="009967B0">
        <w:rPr>
          <w:rFonts w:ascii="PT Astra Serif" w:hAnsi="PT Astra Serif"/>
          <w:b w:val="0"/>
          <w:sz w:val="26"/>
          <w:szCs w:val="26"/>
        </w:rPr>
        <w:tab/>
        <w:t>В ходе документарной проверки могут совершаться следующие контрольные (надзорные) действия: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lastRenderedPageBreak/>
        <w:t>1)</w:t>
      </w:r>
      <w:r w:rsidRPr="009967B0">
        <w:rPr>
          <w:rFonts w:ascii="PT Astra Serif" w:hAnsi="PT Astra Serif"/>
          <w:b w:val="0"/>
          <w:sz w:val="26"/>
          <w:szCs w:val="26"/>
        </w:rPr>
        <w:tab/>
        <w:t>получение письменных объяснений;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истребование документов;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экспертиза.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45.</w:t>
      </w:r>
      <w:r w:rsidRPr="009967B0">
        <w:rPr>
          <w:rFonts w:ascii="PT Astra Serif" w:hAnsi="PT Astra Serif"/>
          <w:b w:val="0"/>
          <w:sz w:val="26"/>
          <w:szCs w:val="26"/>
        </w:rPr>
        <w:tab/>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46.</w:t>
      </w:r>
      <w:r w:rsidRPr="009967B0">
        <w:rPr>
          <w:rFonts w:ascii="PT Astra Serif" w:hAnsi="PT Astra Serif"/>
          <w:b w:val="0"/>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вправе дополнительно представить в Департамент документы, подтверждающие достоверность ранее представленных документов.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47.</w:t>
      </w:r>
      <w:r w:rsidRPr="009967B0">
        <w:rPr>
          <w:rFonts w:ascii="PT Astra Serif" w:hAnsi="PT Astra Serif"/>
          <w:b w:val="0"/>
          <w:sz w:val="26"/>
          <w:szCs w:val="26"/>
        </w:rPr>
        <w:tab/>
        <w:t>При проведении документарной проверки Департамент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48.</w:t>
      </w:r>
      <w:r w:rsidRPr="009967B0">
        <w:rPr>
          <w:rFonts w:ascii="PT Astra Serif" w:hAnsi="PT Astra Serif"/>
          <w:b w:val="0"/>
          <w:sz w:val="26"/>
          <w:szCs w:val="26"/>
        </w:rPr>
        <w:tab/>
        <w:t>Срок проведения документарной проверки не может превышать десять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49.</w:t>
      </w:r>
      <w:r w:rsidRPr="009967B0">
        <w:rPr>
          <w:rFonts w:ascii="PT Astra Serif" w:hAnsi="PT Astra Serif"/>
          <w:b w:val="0"/>
          <w:sz w:val="26"/>
          <w:szCs w:val="26"/>
        </w:rPr>
        <w:tab/>
        <w:t>Внеплановая документарная проверка проводится без согласования с органами прокуратуры.</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50.</w:t>
      </w:r>
      <w:r w:rsidRPr="009967B0">
        <w:rPr>
          <w:rFonts w:ascii="PT Astra Serif" w:hAnsi="PT Astra Serif"/>
          <w:b w:val="0"/>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Выездная проверка</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51.</w:t>
      </w:r>
      <w:r w:rsidRPr="009967B0">
        <w:rPr>
          <w:rFonts w:ascii="PT Astra Serif" w:hAnsi="PT Astra Serif"/>
          <w:b w:val="0"/>
          <w:sz w:val="26"/>
          <w:szCs w:val="26"/>
        </w:rPr>
        <w:tab/>
        <w:t>В ходе выездной проверки могут совершаться следующие контрольные (надзорные) действия: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досмотр;</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опрос;</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получение письменных объяснений;</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истребование документов;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отбор проб (образцов);</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7)</w:t>
      </w:r>
      <w:r w:rsidRPr="009967B0">
        <w:rPr>
          <w:rFonts w:ascii="PT Astra Serif" w:hAnsi="PT Astra Serif"/>
          <w:b w:val="0"/>
          <w:sz w:val="26"/>
          <w:szCs w:val="26"/>
        </w:rPr>
        <w:tab/>
        <w:t>инструментальное обследование;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8)</w:t>
      </w:r>
      <w:r w:rsidRPr="009967B0">
        <w:rPr>
          <w:rFonts w:ascii="PT Astra Serif" w:hAnsi="PT Astra Serif"/>
          <w:b w:val="0"/>
          <w:sz w:val="26"/>
          <w:szCs w:val="26"/>
        </w:rPr>
        <w:tab/>
        <w:t>испытание;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9)</w:t>
      </w:r>
      <w:r w:rsidRPr="009967B0">
        <w:rPr>
          <w:rFonts w:ascii="PT Astra Serif" w:hAnsi="PT Astra Serif"/>
          <w:b w:val="0"/>
          <w:sz w:val="26"/>
          <w:szCs w:val="26"/>
        </w:rPr>
        <w:tab/>
        <w:t>экспертиза.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52.</w:t>
      </w:r>
      <w:r w:rsidRPr="009967B0">
        <w:rPr>
          <w:rFonts w:ascii="PT Astra Serif" w:hAnsi="PT Astra Serif"/>
          <w:b w:val="0"/>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53.</w:t>
      </w:r>
      <w:r w:rsidRPr="009967B0">
        <w:rPr>
          <w:rFonts w:ascii="PT Astra Serif" w:hAnsi="PT Astra Serif"/>
          <w:b w:val="0"/>
          <w:sz w:val="26"/>
          <w:szCs w:val="26"/>
        </w:rPr>
        <w:tab/>
        <w:t>Срок проведения выездной проверки не может превышать десять рабочих дней.В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V. Результаты контрольного (надзорного) мероприятия</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54.</w:t>
      </w:r>
      <w:r w:rsidRPr="009967B0">
        <w:rPr>
          <w:rFonts w:ascii="PT Astra Serif" w:hAnsi="PT Astra Serif"/>
          <w:b w:val="0"/>
          <w:sz w:val="26"/>
          <w:szCs w:val="26"/>
        </w:rPr>
        <w:tab/>
        <w:t>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55.</w:t>
      </w:r>
      <w:r w:rsidRPr="009967B0">
        <w:rPr>
          <w:rFonts w:ascii="PT Astra Serif" w:hAnsi="PT Astra Serif"/>
          <w:b w:val="0"/>
          <w:sz w:val="26"/>
          <w:szCs w:val="26"/>
        </w:rPr>
        <w:tab/>
        <w:t>Предписание об устранении выявленных нарушений обязательных требований содержит следующие данные: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w:t>
      </w:r>
      <w:r w:rsidRPr="009967B0">
        <w:rPr>
          <w:rFonts w:ascii="PT Astra Serif" w:hAnsi="PT Astra Serif"/>
          <w:b w:val="0"/>
          <w:sz w:val="26"/>
          <w:szCs w:val="26"/>
        </w:rPr>
        <w:tab/>
        <w:t>дата и место составления предписания;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w:t>
      </w:r>
      <w:r w:rsidRPr="009967B0">
        <w:rPr>
          <w:rFonts w:ascii="PT Astra Serif" w:hAnsi="PT Astra Serif"/>
          <w:b w:val="0"/>
          <w:sz w:val="26"/>
          <w:szCs w:val="26"/>
        </w:rPr>
        <w:tab/>
        <w:t>дата и номер акта контрольного (надзорного) мероприятия, на основании которого выдается предписание;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w:t>
      </w:r>
      <w:r w:rsidRPr="009967B0">
        <w:rPr>
          <w:rFonts w:ascii="PT Astra Serif" w:hAnsi="PT Astra Serif"/>
          <w:b w:val="0"/>
          <w:sz w:val="26"/>
          <w:szCs w:val="26"/>
        </w:rPr>
        <w:tab/>
        <w:t>фамилия, имя, отчество (при наличии) и должность лица (лиц), выдавшего (выдавших) предписание;</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w:t>
      </w:r>
      <w:r w:rsidRPr="009967B0">
        <w:rPr>
          <w:rFonts w:ascii="PT Astra Serif" w:hAnsi="PT Astra Serif"/>
          <w:b w:val="0"/>
          <w:sz w:val="26"/>
          <w:szCs w:val="26"/>
        </w:rPr>
        <w:tab/>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w:t>
      </w:r>
      <w:r w:rsidRPr="009967B0">
        <w:rPr>
          <w:rFonts w:ascii="PT Astra Serif" w:hAnsi="PT Astra Serif"/>
          <w:b w:val="0"/>
          <w:sz w:val="26"/>
          <w:szCs w:val="26"/>
        </w:rPr>
        <w:tab/>
        <w:t>содержание предписания – обязательные требования, которые нарушены;</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w:t>
      </w:r>
      <w:r w:rsidRPr="009967B0">
        <w:rPr>
          <w:rFonts w:ascii="PT Astra Serif" w:hAnsi="PT Astra Serif"/>
          <w:b w:val="0"/>
          <w:sz w:val="26"/>
          <w:szCs w:val="26"/>
        </w:rPr>
        <w:tab/>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7)</w:t>
      </w:r>
      <w:r w:rsidRPr="009967B0">
        <w:rPr>
          <w:rFonts w:ascii="PT Astra Serif" w:hAnsi="PT Astra Serif"/>
          <w:b w:val="0"/>
          <w:sz w:val="26"/>
          <w:szCs w:val="26"/>
        </w:rPr>
        <w:tab/>
        <w:t>сроки исполнения;</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8)</w:t>
      </w:r>
      <w:r w:rsidRPr="009967B0">
        <w:rPr>
          <w:rFonts w:ascii="PT Astra Serif" w:hAnsi="PT Astra Serif"/>
          <w:b w:val="0"/>
          <w:sz w:val="26"/>
          <w:szCs w:val="26"/>
        </w:rPr>
        <w:tab/>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VI. Досудебный порядок подачи жалобы</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lastRenderedPageBreak/>
        <w:t>56.</w:t>
      </w:r>
      <w:r w:rsidRPr="009967B0">
        <w:rPr>
          <w:rFonts w:ascii="PT Astra Serif" w:hAnsi="PT Astra Serif"/>
          <w:b w:val="0"/>
          <w:sz w:val="26"/>
          <w:szCs w:val="26"/>
        </w:rPr>
        <w:tab/>
        <w:t>Жалоба на решение Департамента, действия (бездействие) его должностных лиц при осуществлении регионального государственного экологического контроля (надзора) рассматривается заместителем начальника Департамента - председателем комитета государственного экологического надзора.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Жалоба на действия (бездействие) заместителя начальника Департамента - председателя комитета государственного экологического надзора рассматривается начальником Департамента.</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На решение и (или) действие (бездействие) начальника Департамента - Губернатору Томской области, заместителю Губернатора Томской области по агропромышленной политике и природопользованию.</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На решение и (или) действие (бездействие) Департамента подается в Администрацию Томской области по адресу: 634050, г. Томск, пл. Ленина, 6.</w:t>
      </w:r>
    </w:p>
    <w:p w:rsidR="007463A4" w:rsidRPr="009967B0" w:rsidRDefault="007463A4" w:rsidP="00163017">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57</w:t>
      </w:r>
      <w:bookmarkStart w:id="0" w:name="_GoBack"/>
      <w:bookmarkEnd w:id="0"/>
      <w:r w:rsidRPr="009967B0">
        <w:rPr>
          <w:rFonts w:ascii="PT Astra Serif" w:hAnsi="PT Astra Serif"/>
          <w:b w:val="0"/>
          <w:sz w:val="26"/>
          <w:szCs w:val="26"/>
        </w:rPr>
        <w:t>.</w:t>
      </w:r>
      <w:r w:rsidRPr="009967B0">
        <w:rPr>
          <w:rFonts w:ascii="PT Astra Serif" w:hAnsi="PT Astra Serif"/>
          <w:b w:val="0"/>
          <w:sz w:val="26"/>
          <w:szCs w:val="26"/>
        </w:rPr>
        <w:tab/>
        <w:t>Жалоба подлежит рассмотрению уполномоченным на рассмотрение жалобы уполномоченным органом, должностным лицом в срок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7463A4" w:rsidRPr="009967B0" w:rsidRDefault="007463A4" w:rsidP="00163017">
      <w:pPr>
        <w:pStyle w:val="ConsPlusTitle"/>
        <w:ind w:right="-1" w:firstLine="709"/>
        <w:contextualSpacing/>
        <w:jc w:val="both"/>
        <w:rPr>
          <w:rFonts w:ascii="PT Astra Serif" w:hAnsi="PT Astra Serif"/>
          <w:b w:val="0"/>
          <w:sz w:val="26"/>
          <w:szCs w:val="26"/>
        </w:rPr>
      </w:pPr>
    </w:p>
    <w:p w:rsidR="00F70FB5" w:rsidRPr="009967B0" w:rsidRDefault="00F70FB5" w:rsidP="00F70FB5">
      <w:pPr>
        <w:ind w:right="-2"/>
        <w:jc w:val="center"/>
        <w:rPr>
          <w:rFonts w:ascii="PT Astra Serif" w:hAnsi="PT Astra Serif"/>
          <w:sz w:val="26"/>
          <w:szCs w:val="26"/>
        </w:rPr>
      </w:pPr>
      <w:r w:rsidRPr="009967B0">
        <w:rPr>
          <w:rFonts w:ascii="PT Astra Serif" w:hAnsi="PT Astra Serif"/>
          <w:sz w:val="26"/>
          <w:szCs w:val="26"/>
          <w:lang w:val="en-US"/>
        </w:rPr>
        <w:t>VII</w:t>
      </w:r>
      <w:r w:rsidRPr="009967B0">
        <w:rPr>
          <w:rFonts w:ascii="PT Astra Serif" w:hAnsi="PT Astra Serif"/>
          <w:sz w:val="26"/>
          <w:szCs w:val="26"/>
        </w:rPr>
        <w:t>. Заключительные положения</w:t>
      </w:r>
    </w:p>
    <w:p w:rsidR="00F70FB5" w:rsidRPr="009967B0" w:rsidRDefault="00F70FB5" w:rsidP="00F70FB5">
      <w:pPr>
        <w:ind w:right="-2" w:firstLine="709"/>
        <w:jc w:val="both"/>
        <w:rPr>
          <w:rFonts w:ascii="PT Astra Serif" w:hAnsi="PT Astra Serif"/>
          <w:sz w:val="26"/>
          <w:szCs w:val="26"/>
        </w:rPr>
      </w:pPr>
    </w:p>
    <w:p w:rsidR="00F70FB5" w:rsidRPr="009967B0" w:rsidRDefault="00F70FB5" w:rsidP="00F70FB5">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контрольных (надзорных) мероприятий в соответствии с Федеральным законом от 31.07.2020 № 248-ФЗ «О</w:t>
      </w:r>
      <w:r w:rsidR="002861EB" w:rsidRPr="009967B0">
        <w:rPr>
          <w:rFonts w:ascii="PT Astra Serif" w:hAnsi="PT Astra Serif"/>
          <w:b w:val="0"/>
          <w:sz w:val="26"/>
          <w:szCs w:val="26"/>
        </w:rPr>
        <w:t xml:space="preserve"> </w:t>
      </w:r>
      <w:r w:rsidRPr="009967B0">
        <w:rPr>
          <w:rFonts w:ascii="PT Astra Serif" w:hAnsi="PT Astra Serif"/>
          <w:b w:val="0"/>
          <w:sz w:val="26"/>
          <w:szCs w:val="26"/>
        </w:rPr>
        <w:t>государственном контроле (надзоре) и муниципальном контроле в Российской Федерации», настоящим Положением.</w:t>
      </w:r>
    </w:p>
    <w:p w:rsidR="007463A4" w:rsidRPr="009967B0" w:rsidRDefault="007463A4" w:rsidP="007463A4">
      <w:pPr>
        <w:ind w:right="-1"/>
        <w:rPr>
          <w:rFonts w:ascii="PT Astra Serif" w:eastAsia="Batang" w:hAnsi="PT Astra Serif"/>
          <w:sz w:val="26"/>
          <w:szCs w:val="26"/>
          <w:lang w:eastAsia="ko-KR"/>
        </w:rPr>
      </w:pPr>
      <w:r w:rsidRPr="009967B0">
        <w:rPr>
          <w:rFonts w:ascii="PT Astra Serif" w:hAnsi="PT Astra Serif"/>
          <w:b/>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7463A4" w:rsidRPr="009967B0" w:rsidTr="00494386">
        <w:tc>
          <w:tcPr>
            <w:tcW w:w="5778" w:type="dxa"/>
          </w:tcPr>
          <w:p w:rsidR="007463A4" w:rsidRPr="009967B0" w:rsidRDefault="007463A4" w:rsidP="007463A4">
            <w:pPr>
              <w:pStyle w:val="ConsPlusTitle"/>
              <w:ind w:right="-1"/>
              <w:contextualSpacing/>
              <w:jc w:val="both"/>
              <w:rPr>
                <w:rFonts w:ascii="PT Astra Serif" w:hAnsi="PT Astra Serif"/>
                <w:b w:val="0"/>
                <w:sz w:val="26"/>
                <w:szCs w:val="26"/>
              </w:rPr>
            </w:pPr>
          </w:p>
        </w:tc>
        <w:tc>
          <w:tcPr>
            <w:tcW w:w="3969" w:type="dxa"/>
          </w:tcPr>
          <w:p w:rsidR="007463A4" w:rsidRPr="009967B0" w:rsidRDefault="007463A4"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Приложение</w:t>
            </w:r>
          </w:p>
          <w:p w:rsidR="007463A4" w:rsidRPr="009967B0" w:rsidRDefault="007463A4"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к Положению о региональном</w:t>
            </w:r>
          </w:p>
          <w:p w:rsidR="007463A4" w:rsidRPr="009967B0" w:rsidRDefault="007463A4"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государственном экологическом</w:t>
            </w:r>
          </w:p>
          <w:p w:rsidR="007463A4" w:rsidRPr="009967B0" w:rsidRDefault="007463A4" w:rsidP="007463A4">
            <w:pPr>
              <w:pStyle w:val="ConsPlusTitle"/>
              <w:ind w:right="-1"/>
              <w:contextualSpacing/>
              <w:jc w:val="both"/>
              <w:rPr>
                <w:rFonts w:ascii="PT Astra Serif" w:hAnsi="PT Astra Serif"/>
                <w:b w:val="0"/>
                <w:sz w:val="26"/>
                <w:szCs w:val="26"/>
              </w:rPr>
            </w:pPr>
            <w:r w:rsidRPr="009967B0">
              <w:rPr>
                <w:rFonts w:ascii="PT Astra Serif" w:hAnsi="PT Astra Serif"/>
                <w:b w:val="0"/>
                <w:sz w:val="26"/>
                <w:szCs w:val="26"/>
              </w:rPr>
              <w:t>контроле (надзоре)</w:t>
            </w:r>
          </w:p>
        </w:tc>
      </w:tr>
    </w:tbl>
    <w:p w:rsidR="007463A4" w:rsidRPr="009967B0" w:rsidRDefault="007463A4" w:rsidP="00091F4B">
      <w:pPr>
        <w:pStyle w:val="ConsPlusTitle"/>
        <w:ind w:right="-1"/>
        <w:contextualSpacing/>
        <w:jc w:val="center"/>
        <w:rPr>
          <w:rFonts w:ascii="PT Astra Serif" w:hAnsi="PT Astra Serif"/>
          <w:b w:val="0"/>
          <w:sz w:val="26"/>
          <w:szCs w:val="26"/>
        </w:rPr>
      </w:pPr>
    </w:p>
    <w:p w:rsidR="007463A4" w:rsidRPr="009967B0" w:rsidRDefault="007463A4" w:rsidP="007463A4">
      <w:pPr>
        <w:pStyle w:val="ConsPlusTitle"/>
        <w:ind w:right="-1"/>
        <w:contextualSpacing/>
        <w:jc w:val="center"/>
        <w:rPr>
          <w:rFonts w:ascii="PT Astra Serif" w:hAnsi="PT Astra Serif"/>
          <w:b w:val="0"/>
          <w:sz w:val="26"/>
          <w:szCs w:val="26"/>
        </w:rPr>
      </w:pPr>
      <w:r w:rsidRPr="009967B0">
        <w:rPr>
          <w:rFonts w:ascii="PT Astra Serif" w:hAnsi="PT Astra Serif"/>
          <w:b w:val="0"/>
          <w:sz w:val="26"/>
          <w:szCs w:val="26"/>
        </w:rPr>
        <w:t>Критерии отнесения объектов регионального государственного геологического контроля (надзора) к категориям риска</w:t>
      </w:r>
    </w:p>
    <w:p w:rsidR="007463A4" w:rsidRPr="009967B0" w:rsidRDefault="007463A4" w:rsidP="00091F4B">
      <w:pPr>
        <w:pStyle w:val="ConsPlusTitle"/>
        <w:ind w:right="-1" w:firstLine="709"/>
        <w:contextualSpacing/>
        <w:jc w:val="both"/>
        <w:rPr>
          <w:rFonts w:ascii="PT Astra Serif" w:hAnsi="PT Astra Serif"/>
          <w:b w:val="0"/>
          <w:sz w:val="26"/>
          <w:szCs w:val="26"/>
        </w:rPr>
      </w:pP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1. Объекты контроля относятся к следующим категориям риска:</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 xml:space="preserve">а)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к объектам I, II, III и IV категорий» (далее – Критерии); </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б)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2. Объекты контроля, подлежащие отнесению в соответствии с пунктом 1 настоящего Приложения к категориям умеренного и низкого риска, подлежат отнесению к категориям среднего и умеренного риска соответственно в случае, если объект контроля размещается:</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а) в границах особо охраняемой природной территории регионального значения;</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б) в водоохранных зонах водных объектов или их частей.</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3. Объекты контроля, подлежащие отнесению в соответствии с пунктами 1 и 2 настоящего Приложения к категориям среднего, умеренного, низкого риска, подлежат отнесению к категориям значительного, среднего, умеренного риска соответственно при наличии вступивших в законную силу в течение 3 лет, предшествующих дате принятия решения об отнесении объекта контроля к категории риска:</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2 статьи 7.3, статьями 7.4, 8.9, частью первой статьи 8.10, статьей 8.11, частью первой статьи 8.13 (в части нарушения водоохранного режима на водосборах подземных водных объектов), статьями 8.42, 8.44, 8.45 Кодекса Российской Федерации об административных правонарушениях и совершенного при осуществлении деятельности с использованием объекта контроля, вынесенного должностными лицами Департамента или судом на основании протокола об административном правонарушении, составленного должностными лицами Департамента;</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контроля, виновными в совершении преступления, предусмотренного статьей 255 Уголовного </w:t>
      </w:r>
      <w:r w:rsidRPr="009967B0">
        <w:rPr>
          <w:rFonts w:ascii="PT Astra Serif" w:hAnsi="PT Astra Serif"/>
          <w:b w:val="0"/>
          <w:sz w:val="26"/>
          <w:szCs w:val="26"/>
        </w:rPr>
        <w:lastRenderedPageBreak/>
        <w:t>кодекса Российской Федерации;</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недрам или причинение такого вреда.</w:t>
      </w:r>
    </w:p>
    <w:p w:rsidR="007463A4"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4. Объекты контроля, подлежащие отнесению в соответствии с подпунктами "а" и "в" пункта 3 настоящего Приложения к категориямзначительного, среднего, умеренного риска, подлежат отнесению к категориям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9967B0" w:rsidRDefault="007463A4" w:rsidP="00091F4B">
      <w:pPr>
        <w:pStyle w:val="ConsPlusTitle"/>
        <w:ind w:right="-1" w:firstLine="709"/>
        <w:contextualSpacing/>
        <w:jc w:val="both"/>
        <w:rPr>
          <w:rFonts w:ascii="PT Astra Serif" w:hAnsi="PT Astra Serif"/>
          <w:b w:val="0"/>
          <w:sz w:val="26"/>
          <w:szCs w:val="26"/>
        </w:rPr>
      </w:pPr>
      <w:r w:rsidRPr="009967B0">
        <w:rPr>
          <w:rFonts w:ascii="PT Astra Serif" w:hAnsi="PT Astra Serif"/>
          <w:b w:val="0"/>
          <w:sz w:val="26"/>
          <w:szCs w:val="26"/>
        </w:rPr>
        <w:t>5. Объекты контроля, подлежащие отнесению в соответствии с пунктами 1 и 2 настоящего Приложения к категориям</w:t>
      </w:r>
      <w:r w:rsidR="00D66744" w:rsidRPr="009967B0">
        <w:rPr>
          <w:rFonts w:ascii="PT Astra Serif" w:hAnsi="PT Astra Serif"/>
          <w:b w:val="0"/>
          <w:sz w:val="26"/>
          <w:szCs w:val="26"/>
        </w:rPr>
        <w:t xml:space="preserve"> </w:t>
      </w:r>
      <w:r w:rsidRPr="009967B0">
        <w:rPr>
          <w:rFonts w:ascii="PT Astra Serif" w:hAnsi="PT Astra Serif"/>
          <w:b w:val="0"/>
          <w:sz w:val="26"/>
          <w:szCs w:val="26"/>
        </w:rPr>
        <w:t>среднего, умеренного риска, подлежат отнесению соответственно к категориям умеренного, низкого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Приложения, и одновременном соблюдении требований законодательства о недрах.</w:t>
      </w:r>
    </w:p>
    <w:sectPr w:rsidR="008C2B4D" w:rsidRPr="009967B0" w:rsidSect="007463A4">
      <w:headerReference w:type="even" r:id="rId9"/>
      <w:headerReference w:type="default" r:id="rId10"/>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A2" w:rsidRDefault="003902A2">
      <w:r>
        <w:separator/>
      </w:r>
    </w:p>
  </w:endnote>
  <w:endnote w:type="continuationSeparator" w:id="1">
    <w:p w:rsidR="003902A2" w:rsidRDefault="00390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A2" w:rsidRDefault="003902A2">
      <w:r>
        <w:separator/>
      </w:r>
    </w:p>
  </w:footnote>
  <w:footnote w:type="continuationSeparator" w:id="1">
    <w:p w:rsidR="003902A2" w:rsidRDefault="00390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A" w:rsidRDefault="009D043E">
    <w:pPr>
      <w:pStyle w:val="a3"/>
      <w:framePr w:wrap="around" w:vAnchor="text" w:hAnchor="margin" w:xAlign="center" w:y="1"/>
      <w:rPr>
        <w:rStyle w:val="af2"/>
      </w:rPr>
    </w:pPr>
    <w:r>
      <w:rPr>
        <w:rStyle w:val="af2"/>
      </w:rPr>
      <w:fldChar w:fldCharType="begin"/>
    </w:r>
    <w:r w:rsidR="00597EDA">
      <w:rPr>
        <w:rStyle w:val="af2"/>
      </w:rPr>
      <w:instrText xml:space="preserve">PAGE  </w:instrText>
    </w:r>
    <w:r>
      <w:rPr>
        <w:rStyle w:val="af2"/>
      </w:rPr>
      <w:fldChar w:fldCharType="end"/>
    </w:r>
  </w:p>
  <w:p w:rsidR="00597EDA" w:rsidRDefault="00597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597EDA" w:rsidRPr="009952FA" w:rsidRDefault="009D043E">
        <w:pPr>
          <w:pStyle w:val="a3"/>
          <w:jc w:val="center"/>
          <w:rPr>
            <w:rFonts w:ascii="PT Astra Serif" w:hAnsi="PT Astra Serif"/>
            <w:sz w:val="26"/>
            <w:szCs w:val="26"/>
          </w:rPr>
        </w:pPr>
        <w:r w:rsidRPr="009952FA">
          <w:rPr>
            <w:rFonts w:ascii="PT Astra Serif" w:hAnsi="PT Astra Serif"/>
            <w:sz w:val="26"/>
            <w:szCs w:val="26"/>
          </w:rPr>
          <w:fldChar w:fldCharType="begin"/>
        </w:r>
        <w:r w:rsidR="007E6CAE"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9967B0">
          <w:rPr>
            <w:rFonts w:ascii="PT Astra Serif" w:hAnsi="PT Astra Serif"/>
            <w:noProof/>
            <w:sz w:val="26"/>
            <w:szCs w:val="26"/>
          </w:rPr>
          <w:t>12</w:t>
        </w:r>
        <w:r w:rsidRPr="009952FA">
          <w:rPr>
            <w:rFonts w:ascii="PT Astra Serif" w:hAnsi="PT Astra Serif"/>
            <w:sz w:val="26"/>
            <w:szCs w:val="26"/>
          </w:rPr>
          <w:fldChar w:fldCharType="end"/>
        </w:r>
      </w:p>
    </w:sdtContent>
  </w:sdt>
  <w:p w:rsidR="00597EDA" w:rsidRPr="009952FA" w:rsidRDefault="00597EDA">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1"/>
  </w:num>
  <w:num w:numId="6">
    <w:abstractNumId w:val="11"/>
  </w:num>
  <w:num w:numId="7">
    <w:abstractNumId w:val="2"/>
  </w:num>
  <w:num w:numId="8">
    <w:abstractNumId w:val="6"/>
  </w:num>
  <w:num w:numId="9">
    <w:abstractNumId w:val="5"/>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7782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31032"/>
    <w:rsid w:val="000352DE"/>
    <w:rsid w:val="00036C80"/>
    <w:rsid w:val="00041E39"/>
    <w:rsid w:val="00044885"/>
    <w:rsid w:val="00044D67"/>
    <w:rsid w:val="00046FD6"/>
    <w:rsid w:val="00047E10"/>
    <w:rsid w:val="00056136"/>
    <w:rsid w:val="000574DA"/>
    <w:rsid w:val="00061CC6"/>
    <w:rsid w:val="00070267"/>
    <w:rsid w:val="0007215B"/>
    <w:rsid w:val="00072B61"/>
    <w:rsid w:val="000756EB"/>
    <w:rsid w:val="00076028"/>
    <w:rsid w:val="000760D6"/>
    <w:rsid w:val="00077969"/>
    <w:rsid w:val="00083A7B"/>
    <w:rsid w:val="00090604"/>
    <w:rsid w:val="00090DEF"/>
    <w:rsid w:val="00091F4B"/>
    <w:rsid w:val="000928DD"/>
    <w:rsid w:val="00095FD0"/>
    <w:rsid w:val="0009618E"/>
    <w:rsid w:val="00097FEF"/>
    <w:rsid w:val="000A09E2"/>
    <w:rsid w:val="000A0CA3"/>
    <w:rsid w:val="000B2AD2"/>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2C90"/>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3017"/>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4516"/>
    <w:rsid w:val="001D4906"/>
    <w:rsid w:val="001D5981"/>
    <w:rsid w:val="001D7657"/>
    <w:rsid w:val="001E03AD"/>
    <w:rsid w:val="001E134E"/>
    <w:rsid w:val="001E1F44"/>
    <w:rsid w:val="001E283F"/>
    <w:rsid w:val="001E2A9B"/>
    <w:rsid w:val="001E75DB"/>
    <w:rsid w:val="001E79FE"/>
    <w:rsid w:val="001F5284"/>
    <w:rsid w:val="00200F97"/>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A8A"/>
    <w:rsid w:val="0024316D"/>
    <w:rsid w:val="00250726"/>
    <w:rsid w:val="00253B3B"/>
    <w:rsid w:val="00256A58"/>
    <w:rsid w:val="00257323"/>
    <w:rsid w:val="00257CAA"/>
    <w:rsid w:val="00261777"/>
    <w:rsid w:val="002631E4"/>
    <w:rsid w:val="00264DEC"/>
    <w:rsid w:val="00265207"/>
    <w:rsid w:val="00267A61"/>
    <w:rsid w:val="0027005F"/>
    <w:rsid w:val="00273852"/>
    <w:rsid w:val="00274662"/>
    <w:rsid w:val="00277376"/>
    <w:rsid w:val="002820DA"/>
    <w:rsid w:val="002835B9"/>
    <w:rsid w:val="00285254"/>
    <w:rsid w:val="002858ED"/>
    <w:rsid w:val="002861EB"/>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E6C6B"/>
    <w:rsid w:val="002F006E"/>
    <w:rsid w:val="002F2BA4"/>
    <w:rsid w:val="002F3245"/>
    <w:rsid w:val="002F37BA"/>
    <w:rsid w:val="002F4250"/>
    <w:rsid w:val="002F62CA"/>
    <w:rsid w:val="002F6CBD"/>
    <w:rsid w:val="00301024"/>
    <w:rsid w:val="00302645"/>
    <w:rsid w:val="003035DE"/>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559F"/>
    <w:rsid w:val="003716E3"/>
    <w:rsid w:val="0037498D"/>
    <w:rsid w:val="00375AE0"/>
    <w:rsid w:val="00375AFE"/>
    <w:rsid w:val="00382F1A"/>
    <w:rsid w:val="003853A7"/>
    <w:rsid w:val="003868D0"/>
    <w:rsid w:val="00390261"/>
    <w:rsid w:val="003902A2"/>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2B30"/>
    <w:rsid w:val="003E3E91"/>
    <w:rsid w:val="003E72F5"/>
    <w:rsid w:val="003F5AF8"/>
    <w:rsid w:val="003F62DC"/>
    <w:rsid w:val="003F6BD8"/>
    <w:rsid w:val="003F6C04"/>
    <w:rsid w:val="004011FB"/>
    <w:rsid w:val="004015CA"/>
    <w:rsid w:val="00402267"/>
    <w:rsid w:val="00402402"/>
    <w:rsid w:val="00403331"/>
    <w:rsid w:val="00405964"/>
    <w:rsid w:val="00407D9B"/>
    <w:rsid w:val="004143F1"/>
    <w:rsid w:val="00421E1C"/>
    <w:rsid w:val="004227DF"/>
    <w:rsid w:val="0042386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90537"/>
    <w:rsid w:val="00490657"/>
    <w:rsid w:val="004907C3"/>
    <w:rsid w:val="0049288D"/>
    <w:rsid w:val="004931B9"/>
    <w:rsid w:val="00494386"/>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4F7085"/>
    <w:rsid w:val="00501A0B"/>
    <w:rsid w:val="0050237D"/>
    <w:rsid w:val="00502AE6"/>
    <w:rsid w:val="00503BE9"/>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321E"/>
    <w:rsid w:val="00616E8C"/>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722"/>
    <w:rsid w:val="006967AC"/>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463A4"/>
    <w:rsid w:val="00750D43"/>
    <w:rsid w:val="00754BCF"/>
    <w:rsid w:val="00761048"/>
    <w:rsid w:val="007616B4"/>
    <w:rsid w:val="00761933"/>
    <w:rsid w:val="00764233"/>
    <w:rsid w:val="00764358"/>
    <w:rsid w:val="00765564"/>
    <w:rsid w:val="007658C8"/>
    <w:rsid w:val="007702CF"/>
    <w:rsid w:val="00772216"/>
    <w:rsid w:val="00773083"/>
    <w:rsid w:val="00773817"/>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B78E4"/>
    <w:rsid w:val="007C00B8"/>
    <w:rsid w:val="007C3395"/>
    <w:rsid w:val="007C4DEC"/>
    <w:rsid w:val="007C5B14"/>
    <w:rsid w:val="007C6B57"/>
    <w:rsid w:val="007D0AFD"/>
    <w:rsid w:val="007D0B76"/>
    <w:rsid w:val="007D212C"/>
    <w:rsid w:val="007D4B31"/>
    <w:rsid w:val="007D5D4D"/>
    <w:rsid w:val="007D6664"/>
    <w:rsid w:val="007E0492"/>
    <w:rsid w:val="007E28E8"/>
    <w:rsid w:val="007E6C33"/>
    <w:rsid w:val="007E6CAE"/>
    <w:rsid w:val="007E7041"/>
    <w:rsid w:val="007F178D"/>
    <w:rsid w:val="007F45CA"/>
    <w:rsid w:val="007F536C"/>
    <w:rsid w:val="007F5819"/>
    <w:rsid w:val="007F60D9"/>
    <w:rsid w:val="007F6AE2"/>
    <w:rsid w:val="007F7B55"/>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A2054"/>
    <w:rsid w:val="008A6F47"/>
    <w:rsid w:val="008A7480"/>
    <w:rsid w:val="008B7AFB"/>
    <w:rsid w:val="008C0210"/>
    <w:rsid w:val="008C1912"/>
    <w:rsid w:val="008C1F82"/>
    <w:rsid w:val="008C23CB"/>
    <w:rsid w:val="008C2B4D"/>
    <w:rsid w:val="008C5B6F"/>
    <w:rsid w:val="008C5C13"/>
    <w:rsid w:val="008D1EAC"/>
    <w:rsid w:val="008D4E67"/>
    <w:rsid w:val="008D6B5B"/>
    <w:rsid w:val="008E0082"/>
    <w:rsid w:val="008E0780"/>
    <w:rsid w:val="008E1986"/>
    <w:rsid w:val="00900740"/>
    <w:rsid w:val="00901CCA"/>
    <w:rsid w:val="0090259E"/>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5D24"/>
    <w:rsid w:val="009869EB"/>
    <w:rsid w:val="00987D5C"/>
    <w:rsid w:val="00993DD4"/>
    <w:rsid w:val="009952FA"/>
    <w:rsid w:val="009967B0"/>
    <w:rsid w:val="00996C09"/>
    <w:rsid w:val="009A1314"/>
    <w:rsid w:val="009A20A2"/>
    <w:rsid w:val="009A419D"/>
    <w:rsid w:val="009A5DB5"/>
    <w:rsid w:val="009B05FC"/>
    <w:rsid w:val="009B2943"/>
    <w:rsid w:val="009B4D17"/>
    <w:rsid w:val="009B57D5"/>
    <w:rsid w:val="009B591F"/>
    <w:rsid w:val="009B685A"/>
    <w:rsid w:val="009C09AF"/>
    <w:rsid w:val="009C2633"/>
    <w:rsid w:val="009C2A70"/>
    <w:rsid w:val="009C319E"/>
    <w:rsid w:val="009C513E"/>
    <w:rsid w:val="009D018D"/>
    <w:rsid w:val="009D043E"/>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310C"/>
    <w:rsid w:val="00A8314E"/>
    <w:rsid w:val="00A86454"/>
    <w:rsid w:val="00A97B68"/>
    <w:rsid w:val="00AA0985"/>
    <w:rsid w:val="00AA1953"/>
    <w:rsid w:val="00AA435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4028"/>
    <w:rsid w:val="00AD7401"/>
    <w:rsid w:val="00AE2716"/>
    <w:rsid w:val="00AE6BE0"/>
    <w:rsid w:val="00AF12D8"/>
    <w:rsid w:val="00AF36C2"/>
    <w:rsid w:val="00AF5F9D"/>
    <w:rsid w:val="00AF7E41"/>
    <w:rsid w:val="00B0047C"/>
    <w:rsid w:val="00B053CF"/>
    <w:rsid w:val="00B141D6"/>
    <w:rsid w:val="00B174F1"/>
    <w:rsid w:val="00B17AAE"/>
    <w:rsid w:val="00B26F1A"/>
    <w:rsid w:val="00B2728C"/>
    <w:rsid w:val="00B27381"/>
    <w:rsid w:val="00B327AD"/>
    <w:rsid w:val="00B356CF"/>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77776"/>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72C7E"/>
    <w:rsid w:val="00C74207"/>
    <w:rsid w:val="00C75A22"/>
    <w:rsid w:val="00C803AA"/>
    <w:rsid w:val="00C810E7"/>
    <w:rsid w:val="00C84938"/>
    <w:rsid w:val="00C85C2C"/>
    <w:rsid w:val="00C87565"/>
    <w:rsid w:val="00C91709"/>
    <w:rsid w:val="00C92A0F"/>
    <w:rsid w:val="00C96C22"/>
    <w:rsid w:val="00C976B6"/>
    <w:rsid w:val="00CA4E27"/>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6F4B"/>
    <w:rsid w:val="00D17AC6"/>
    <w:rsid w:val="00D207A8"/>
    <w:rsid w:val="00D20F52"/>
    <w:rsid w:val="00D233E2"/>
    <w:rsid w:val="00D23842"/>
    <w:rsid w:val="00D271A5"/>
    <w:rsid w:val="00D341EB"/>
    <w:rsid w:val="00D35091"/>
    <w:rsid w:val="00D42113"/>
    <w:rsid w:val="00D46DFE"/>
    <w:rsid w:val="00D5566D"/>
    <w:rsid w:val="00D558DB"/>
    <w:rsid w:val="00D60347"/>
    <w:rsid w:val="00D60CA8"/>
    <w:rsid w:val="00D60CEB"/>
    <w:rsid w:val="00D635F1"/>
    <w:rsid w:val="00D63D31"/>
    <w:rsid w:val="00D65F5C"/>
    <w:rsid w:val="00D66706"/>
    <w:rsid w:val="00D66744"/>
    <w:rsid w:val="00D700DD"/>
    <w:rsid w:val="00D70F08"/>
    <w:rsid w:val="00D75DE4"/>
    <w:rsid w:val="00D81AE4"/>
    <w:rsid w:val="00D8358F"/>
    <w:rsid w:val="00D845BA"/>
    <w:rsid w:val="00D849E2"/>
    <w:rsid w:val="00D8741D"/>
    <w:rsid w:val="00D902DF"/>
    <w:rsid w:val="00D902E6"/>
    <w:rsid w:val="00D9268D"/>
    <w:rsid w:val="00D95340"/>
    <w:rsid w:val="00DA029A"/>
    <w:rsid w:val="00DA1EF8"/>
    <w:rsid w:val="00DA273C"/>
    <w:rsid w:val="00DA49CA"/>
    <w:rsid w:val="00DB2D51"/>
    <w:rsid w:val="00DB302C"/>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3417"/>
    <w:rsid w:val="00E35727"/>
    <w:rsid w:val="00E41864"/>
    <w:rsid w:val="00E42D24"/>
    <w:rsid w:val="00E4428B"/>
    <w:rsid w:val="00E5072D"/>
    <w:rsid w:val="00E51009"/>
    <w:rsid w:val="00E53439"/>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5D72"/>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432"/>
    <w:rsid w:val="00F55A39"/>
    <w:rsid w:val="00F55C97"/>
    <w:rsid w:val="00F55DDE"/>
    <w:rsid w:val="00F565B2"/>
    <w:rsid w:val="00F57B43"/>
    <w:rsid w:val="00F57D13"/>
    <w:rsid w:val="00F62663"/>
    <w:rsid w:val="00F627A7"/>
    <w:rsid w:val="00F65493"/>
    <w:rsid w:val="00F70BCC"/>
    <w:rsid w:val="00F70FB5"/>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 w:val="00FF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nature.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B7A-D176-454B-8C12-AE3F597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7</TotalTime>
  <Pages>12</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4</cp:revision>
  <cp:lastPrinted>2021-06-01T07:26:00Z</cp:lastPrinted>
  <dcterms:created xsi:type="dcterms:W3CDTF">2021-08-24T03:21:00Z</dcterms:created>
  <dcterms:modified xsi:type="dcterms:W3CDTF">2021-08-25T08:03:00Z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