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12241"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487C32">
        <w:rPr>
          <w:rFonts w:ascii="PT Astra Serif" w:hAnsi="PT Astra Serif" w:cs="PT Astra Serif"/>
          <w:bCs/>
          <w:szCs w:val="26"/>
        </w:rPr>
        <w:t>)</w:t>
      </w:r>
      <w:r w:rsidR="00487C32" w:rsidRPr="00487C32">
        <w:rPr>
          <w:rFonts w:ascii="PT Astra Serif" w:hAnsi="PT Astra Serif"/>
        </w:rPr>
        <w:t xml:space="preserve"> </w:t>
      </w:r>
      <w:r w:rsidR="00487C32"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487C32">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Default="00267765" w:rsidP="00267765">
      <w:pPr>
        <w:autoSpaceDE w:val="0"/>
        <w:autoSpaceDN w:val="0"/>
        <w:adjustRightInd w:val="0"/>
        <w:spacing w:line="240" w:lineRule="auto"/>
        <w:ind w:firstLine="540"/>
        <w:jc w:val="both"/>
        <w:rPr>
          <w:rFonts w:ascii="PT Astra Serif" w:hAnsi="PT Astra Serif" w:cs="PT Astra Serif"/>
          <w:bCs/>
          <w:szCs w:val="26"/>
        </w:rPr>
      </w:pPr>
      <w:proofErr w:type="gramStart"/>
      <w:r w:rsidRPr="0095309F">
        <w:rPr>
          <w:rFonts w:ascii="PT Astra Serif" w:hAnsi="PT Astra Serif" w:cs="PT Astra Serif"/>
          <w:bCs/>
          <w:szCs w:val="26"/>
        </w:rPr>
        <w:t xml:space="preserve">В соответствии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w:t>
      </w:r>
      <w:r w:rsidR="00487C32">
        <w:rPr>
          <w:rFonts w:ascii="PT Astra Serif" w:hAnsi="PT Astra Serif"/>
          <w:szCs w:val="26"/>
        </w:rPr>
        <w:t>1</w:t>
      </w:r>
      <w:r w:rsidR="008F6DA0" w:rsidRPr="0095309F">
        <w:rPr>
          <w:rFonts w:ascii="PT Astra Serif" w:hAnsi="PT Astra Serif"/>
          <w:szCs w:val="26"/>
        </w:rPr>
        <w:t xml:space="preserve"> </w:t>
      </w:r>
      <w:r w:rsidR="00487C32">
        <w:rPr>
          <w:rFonts w:ascii="PT Astra Serif" w:hAnsi="PT Astra Serif"/>
          <w:szCs w:val="26"/>
        </w:rPr>
        <w:t>июл</w:t>
      </w:r>
      <w:r w:rsidR="00B7132C">
        <w:rPr>
          <w:rFonts w:ascii="PT Astra Serif" w:hAnsi="PT Astra Serif"/>
          <w:szCs w:val="26"/>
        </w:rPr>
        <w:t>я 2011</w:t>
      </w:r>
      <w:r w:rsidR="008F6DA0" w:rsidRPr="0095309F">
        <w:rPr>
          <w:rFonts w:ascii="PT Astra Serif" w:hAnsi="PT Astra Serif"/>
          <w:szCs w:val="26"/>
        </w:rPr>
        <w:t xml:space="preserve"> года № </w:t>
      </w:r>
      <w:r w:rsidR="00487C32">
        <w:rPr>
          <w:rFonts w:ascii="PT Astra Serif" w:hAnsi="PT Astra Serif"/>
          <w:szCs w:val="26"/>
        </w:rPr>
        <w:t>170</w:t>
      </w:r>
      <w:r w:rsidR="008F6DA0" w:rsidRPr="0095309F">
        <w:rPr>
          <w:rFonts w:ascii="PT Astra Serif" w:hAnsi="PT Astra Serif"/>
          <w:szCs w:val="26"/>
        </w:rPr>
        <w:t>-ФЗ «</w:t>
      </w:r>
      <w:r w:rsidR="00487C32" w:rsidRPr="00487C32">
        <w:rPr>
          <w:rFonts w:ascii="PT Astra Serif" w:hAnsi="PT Astra Serif" w:cs="PT Astra Serif"/>
          <w:bCs/>
          <w:szCs w:val="26"/>
        </w:rPr>
        <w:t>О техническом осмотре транспортных средств и о внесении изменений в отдельные законодательные акты Российской Федерации</w:t>
      </w:r>
      <w:r w:rsidR="008F6DA0" w:rsidRPr="0095309F">
        <w:rPr>
          <w:rFonts w:ascii="PT Astra Serif" w:hAnsi="PT Astra Serif"/>
          <w:szCs w:val="26"/>
        </w:rPr>
        <w:t xml:space="preserve">» </w:t>
      </w:r>
      <w:r w:rsidRPr="0095309F">
        <w:rPr>
          <w:rFonts w:ascii="PT Astra Serif" w:hAnsi="PT Astra Serif" w:cs="PT Astra Serif"/>
          <w:bCs/>
          <w:szCs w:val="26"/>
        </w:rPr>
        <w:t>постановляю:</w:t>
      </w:r>
      <w:proofErr w:type="gramEnd"/>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w:t>
      </w:r>
      <w:r w:rsidR="00487C32"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CD2A31" w:rsidRPr="0095309F">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2. </w:t>
      </w:r>
      <w:proofErr w:type="gramStart"/>
      <w:r w:rsidRPr="0095309F">
        <w:rPr>
          <w:rFonts w:ascii="PT Astra Serif" w:hAnsi="PT Astra Serif" w:cs="PT Astra Serif"/>
          <w:bCs/>
          <w:szCs w:val="26"/>
        </w:rPr>
        <w:t>Контроль за</w:t>
      </w:r>
      <w:proofErr w:type="gramEnd"/>
      <w:r w:rsidRPr="0095309F">
        <w:rPr>
          <w:rFonts w:ascii="PT Astra Serif" w:hAnsi="PT Astra Serif" w:cs="PT Astra Serif"/>
          <w:bCs/>
          <w:szCs w:val="26"/>
        </w:rPr>
        <w:t xml:space="preserve">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487C32" w:rsidRDefault="00487C32" w:rsidP="00267765">
      <w:pPr>
        <w:autoSpaceDE w:val="0"/>
        <w:autoSpaceDN w:val="0"/>
        <w:adjustRightInd w:val="0"/>
        <w:spacing w:line="240" w:lineRule="auto"/>
        <w:ind w:firstLine="0"/>
        <w:jc w:val="right"/>
        <w:outlineLvl w:val="0"/>
        <w:rPr>
          <w:rFonts w:ascii="PT Astra Serif" w:hAnsi="PT Astra Serif" w:cs="PT Astra Serif"/>
          <w:bCs/>
          <w:szCs w:val="26"/>
        </w:rPr>
      </w:pPr>
    </w:p>
    <w:p w:rsidR="00487C32" w:rsidRPr="0095309F" w:rsidRDefault="00487C32"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lastRenderedPageBreak/>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 xml:space="preserve">о региональном государственном контроле (надзоре) </w:t>
      </w:r>
      <w:r w:rsidR="00487C32"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487C32">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 xml:space="preserve">регионального государственного контроля (надзора) </w:t>
      </w:r>
      <w:r w:rsidR="00487C32"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B7132C" w:rsidRPr="006D0EBE">
        <w:rPr>
          <w:rFonts w:ascii="PT Astra Serif" w:hAnsi="PT Astra Serif" w:cs="PT Astra Serif"/>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B7132C" w:rsidRDefault="005B11A0" w:rsidP="00487C32">
      <w:pPr>
        <w:autoSpaceDE w:val="0"/>
        <w:autoSpaceDN w:val="0"/>
        <w:adjustRightInd w:val="0"/>
        <w:spacing w:line="240" w:lineRule="auto"/>
        <w:ind w:firstLine="540"/>
        <w:jc w:val="both"/>
        <w:rPr>
          <w:rFonts w:ascii="PT Astra Serif" w:hAnsi="PT Astra Serif" w:cs="PT Astra Serif"/>
          <w:bCs/>
          <w:szCs w:val="26"/>
        </w:rPr>
      </w:pPr>
      <w:r w:rsidRPr="006D0EBE">
        <w:rPr>
          <w:rFonts w:ascii="PT Astra Serif" w:hAnsi="PT Astra Serif" w:cs="PT Astra Serif"/>
          <w:szCs w:val="26"/>
        </w:rPr>
        <w:t xml:space="preserve">2. </w:t>
      </w:r>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487C32">
        <w:rPr>
          <w:rFonts w:ascii="PT Astra Serif" w:hAnsi="PT Astra Serif" w:cs="PT Astra Serif"/>
          <w:szCs w:val="26"/>
        </w:rPr>
        <w:t>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r w:rsidR="00B7132C">
        <w:rPr>
          <w:rFonts w:ascii="PT Astra Serif" w:hAnsi="PT Astra Serif" w:cs="PT Astra Serif"/>
          <w:szCs w:val="26"/>
        </w:rPr>
        <w:t>.</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регионального контроля</w:t>
      </w:r>
      <w:r w:rsidR="00B7132C">
        <w:rPr>
          <w:rFonts w:ascii="PT Astra Serif" w:hAnsi="PT Astra Serif"/>
          <w:szCs w:val="26"/>
        </w:rPr>
        <w:t>,</w:t>
      </w:r>
      <w:r w:rsidRPr="006D0EBE">
        <w:rPr>
          <w:rFonts w:ascii="PT Astra Serif" w:hAnsi="PT Astra Serif"/>
          <w:szCs w:val="26"/>
        </w:rPr>
        <w:t xml:space="preserve">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5. </w:t>
      </w:r>
      <w:r w:rsidR="00D55D08" w:rsidRPr="006D0EBE">
        <w:rPr>
          <w:rFonts w:ascii="PT Astra Serif" w:hAnsi="PT Astra Serif"/>
          <w:szCs w:val="26"/>
        </w:rPr>
        <w:t xml:space="preserve">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w:t>
      </w:r>
      <w:r w:rsidR="00EA7585" w:rsidRPr="006D0EBE">
        <w:rPr>
          <w:rFonts w:ascii="PT Astra Serif" w:hAnsi="PT Astra Serif"/>
          <w:szCs w:val="26"/>
        </w:rPr>
        <w:t>Федеральн</w:t>
      </w:r>
      <w:r w:rsidR="00EA7585">
        <w:rPr>
          <w:rFonts w:ascii="PT Astra Serif" w:hAnsi="PT Astra Serif"/>
          <w:szCs w:val="26"/>
        </w:rPr>
        <w:t>ого</w:t>
      </w:r>
      <w:r w:rsidR="00EA7585" w:rsidRPr="006D0EBE">
        <w:rPr>
          <w:rFonts w:ascii="PT Astra Serif" w:hAnsi="PT Astra Serif"/>
          <w:szCs w:val="26"/>
        </w:rPr>
        <w:t xml:space="preserve"> закон</w:t>
      </w:r>
      <w:r w:rsidR="00EA7585">
        <w:rPr>
          <w:rFonts w:ascii="PT Astra Serif" w:hAnsi="PT Astra Serif"/>
          <w:szCs w:val="26"/>
        </w:rPr>
        <w:t>а</w:t>
      </w:r>
      <w:r w:rsidR="00EA7585" w:rsidRPr="0095309F">
        <w:rPr>
          <w:rFonts w:ascii="PT Astra Serif" w:hAnsi="PT Astra Serif"/>
          <w:szCs w:val="26"/>
        </w:rPr>
        <w:t xml:space="preserve"> </w:t>
      </w:r>
      <w:r w:rsidR="00EA7585">
        <w:rPr>
          <w:rFonts w:ascii="PT Astra Serif" w:hAnsi="PT Astra Serif"/>
          <w:szCs w:val="26"/>
        </w:rPr>
        <w:t xml:space="preserve">от </w:t>
      </w:r>
      <w:r w:rsidR="00EA7585" w:rsidRPr="0095309F">
        <w:rPr>
          <w:rFonts w:ascii="PT Astra Serif" w:hAnsi="PT Astra Serif"/>
          <w:szCs w:val="26"/>
        </w:rPr>
        <w:t>31 июля 2020 года № 248-ФЗ «О государственном контроле (надзоре) и муниципальном контроле в Российской Федерации»</w:t>
      </w:r>
      <w:r w:rsidR="00EA7585">
        <w:rPr>
          <w:rFonts w:ascii="PT Astra Serif" w:hAnsi="PT Astra Serif"/>
          <w:szCs w:val="26"/>
        </w:rPr>
        <w:t xml:space="preserve"> </w:t>
      </w:r>
      <w:r w:rsidR="00EA7585" w:rsidRPr="006D0EBE">
        <w:rPr>
          <w:rFonts w:ascii="PT Astra Serif" w:hAnsi="PT Astra Serif"/>
          <w:szCs w:val="26"/>
        </w:rPr>
        <w:t>(далее - Федеральный закон о контроле (надзоре)</w:t>
      </w:r>
      <w:r w:rsidR="00EA7585">
        <w:rPr>
          <w:rFonts w:ascii="PT Astra Serif" w:hAnsi="PT Astra Serif" w:cs="PT Astra Serif"/>
          <w:szCs w:val="26"/>
        </w:rPr>
        <w:t>)</w:t>
      </w:r>
      <w:r w:rsidR="00D55D08" w:rsidRPr="006D0EBE">
        <w:rPr>
          <w:rFonts w:ascii="PT Astra Serif" w:hAnsi="PT Astra Serif"/>
          <w:szCs w:val="26"/>
        </w:rPr>
        <w:t>.</w:t>
      </w:r>
    </w:p>
    <w:p w:rsidR="00D55D08" w:rsidRPr="006D0EBE" w:rsidRDefault="00D55D08" w:rsidP="0070706C">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6. Объектом </w:t>
      </w:r>
      <w:r w:rsidRPr="0070706C">
        <w:rPr>
          <w:rFonts w:ascii="PT Astra Serif" w:hAnsi="PT Astra Serif"/>
          <w:szCs w:val="26"/>
        </w:rPr>
        <w:t xml:space="preserve">регионального контроля (далее - объект контроля) является деятельность </w:t>
      </w:r>
      <w:r w:rsidR="0070706C" w:rsidRPr="0070706C">
        <w:rPr>
          <w:rFonts w:ascii="PT Astra Serif" w:hAnsi="PT Astra Serif" w:cs="PT Astra Serif"/>
          <w:szCs w:val="26"/>
        </w:rPr>
        <w:t>оператор</w:t>
      </w:r>
      <w:r w:rsidR="0070706C">
        <w:rPr>
          <w:rFonts w:ascii="PT Astra Serif" w:hAnsi="PT Astra Serif" w:cs="PT Astra Serif"/>
          <w:szCs w:val="26"/>
        </w:rPr>
        <w:t>ов</w:t>
      </w:r>
      <w:r w:rsidR="0070706C" w:rsidRPr="0070706C">
        <w:rPr>
          <w:rFonts w:ascii="PT Astra Serif" w:hAnsi="PT Astra Serif" w:cs="PT Astra Serif"/>
          <w:szCs w:val="26"/>
        </w:rPr>
        <w:t xml:space="preserve"> технического осмотра</w:t>
      </w:r>
      <w:r w:rsidR="0070706C">
        <w:rPr>
          <w:rFonts w:ascii="PT Astra Serif" w:hAnsi="PT Astra Serif" w:cs="PT Astra Serif"/>
          <w:szCs w:val="26"/>
        </w:rPr>
        <w:t xml:space="preserve"> </w:t>
      </w:r>
      <w:r w:rsidRPr="0070706C">
        <w:rPr>
          <w:rFonts w:ascii="PT Astra Serif" w:hAnsi="PT Astra Serif"/>
          <w:szCs w:val="26"/>
        </w:rPr>
        <w:t>в части соблюдения обязательных требований, установленных законодательством Российской Федерации и принятыми в соответствии с ним нормативными</w:t>
      </w:r>
      <w:r w:rsidRPr="006D0EBE">
        <w:rPr>
          <w:rFonts w:ascii="PT Astra Serif" w:hAnsi="PT Astra Serif"/>
          <w:szCs w:val="26"/>
        </w:rPr>
        <w:t xml:space="preserve"> правовыми актами Российской Федерации.</w:t>
      </w:r>
    </w:p>
    <w:p w:rsidR="00D55D08" w:rsidRPr="0063319D"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3319D">
        <w:rPr>
          <w:rFonts w:ascii="PT Astra Serif" w:hAnsi="PT Astra Serif"/>
          <w:sz w:val="26"/>
          <w:szCs w:val="26"/>
        </w:rPr>
        <w:t xml:space="preserve">7. Учет объектов контроля осуществляется </w:t>
      </w:r>
      <w:r w:rsidRPr="0063319D">
        <w:rPr>
          <w:rFonts w:ascii="PT Astra Serif" w:hAnsi="PT Astra Serif" w:cs="PT Astra Serif"/>
          <w:sz w:val="26"/>
          <w:szCs w:val="26"/>
        </w:rPr>
        <w:t>Департаментом тарифного регулирования Томской области</w:t>
      </w:r>
      <w:r w:rsidRPr="0063319D">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3319D"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lastRenderedPageBreak/>
        <w:t>Перечень объектов контроля (надзора) содержит следующую информацию:</w:t>
      </w:r>
    </w:p>
    <w:p w:rsidR="00D55D08" w:rsidRPr="0063319D"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3319D"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3319D"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3319D"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3319D">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сведения о </w:t>
      </w:r>
      <w:proofErr w:type="gramStart"/>
      <w:r w:rsidRPr="006D0EBE">
        <w:rPr>
          <w:rFonts w:ascii="PT Astra Serif" w:hAnsi="PT Astra Serif"/>
          <w:sz w:val="26"/>
          <w:szCs w:val="26"/>
        </w:rPr>
        <w:t>предостережении</w:t>
      </w:r>
      <w:proofErr w:type="gramEnd"/>
      <w:r w:rsidRPr="006D0EBE">
        <w:rPr>
          <w:rFonts w:ascii="PT Astra Serif" w:hAnsi="PT Astra Serif"/>
          <w:sz w:val="26"/>
          <w:szCs w:val="26"/>
        </w:rPr>
        <w:t xml:space="preserve">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BB5B11"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15. Обязательные профилактические визиты проводятся в отношении контролируемых лиц, </w:t>
      </w:r>
      <w:r w:rsidRPr="00BB5B11">
        <w:rPr>
          <w:rFonts w:ascii="PT Astra Serif" w:hAnsi="PT Astra Serif"/>
          <w:sz w:val="26"/>
          <w:szCs w:val="26"/>
        </w:rPr>
        <w:t xml:space="preserve">приступающих к осуществлению регулируемых видов деятельности в сфере </w:t>
      </w:r>
      <w:r w:rsidR="00BB5B11" w:rsidRPr="00BB5B11">
        <w:rPr>
          <w:rFonts w:ascii="PT Astra Serif" w:hAnsi="PT Astra Serif"/>
          <w:sz w:val="26"/>
          <w:szCs w:val="26"/>
        </w:rPr>
        <w:t>водоснабжения и водоотведения</w:t>
      </w:r>
      <w:r w:rsidRPr="00BB5B11">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BB5B11">
        <w:rPr>
          <w:rFonts w:ascii="PT Astra Serif" w:hAnsi="PT Astra Serif"/>
          <w:sz w:val="26"/>
          <w:szCs w:val="26"/>
        </w:rPr>
        <w:t>Обязательные профилактические визиты проводятся должностным лицом по месту осуществления деятельности контролируемого</w:t>
      </w:r>
      <w:r w:rsidRPr="006D0EBE">
        <w:rPr>
          <w:rFonts w:ascii="PT Astra Serif" w:hAnsi="PT Astra Serif"/>
          <w:sz w:val="26"/>
          <w:szCs w:val="26"/>
        </w:rPr>
        <w:t xml:space="preserve">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xml:space="preserve">) содержание применяемых к деятельности контролируемого лица либо принадлежащим ему объектам контроля (надзора) новых нормативных правовых актов, </w:t>
      </w:r>
      <w:r w:rsidR="00D55D08" w:rsidRPr="006D0EBE">
        <w:rPr>
          <w:rFonts w:ascii="PT Astra Serif" w:hAnsi="PT Astra Serif"/>
          <w:sz w:val="26"/>
          <w:szCs w:val="26"/>
        </w:rPr>
        <w:lastRenderedPageBreak/>
        <w:t>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xml:space="preserve">)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w:t>
      </w:r>
      <w:proofErr w:type="gramStart"/>
      <w:r w:rsidR="00D55D08" w:rsidRPr="006D0EBE">
        <w:rPr>
          <w:rFonts w:ascii="PT Astra Serif" w:hAnsi="PT Astra Serif"/>
          <w:sz w:val="26"/>
          <w:szCs w:val="26"/>
        </w:rPr>
        <w:t>последствия</w:t>
      </w:r>
      <w:proofErr w:type="gramEnd"/>
      <w:r w:rsidR="00D55D08" w:rsidRPr="006D0EBE">
        <w:rPr>
          <w:rFonts w:ascii="PT Astra Serif" w:hAnsi="PT Astra Serif"/>
          <w:sz w:val="26"/>
          <w:szCs w:val="26"/>
        </w:rPr>
        <w:t xml:space="preserve">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54B31"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 xml:space="preserve">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отнесению к категориям среднего, </w:t>
      </w:r>
      <w:r w:rsidRPr="00654B31">
        <w:rPr>
          <w:rFonts w:ascii="PT Astra Serif" w:hAnsi="PT Astra Serif"/>
          <w:sz w:val="26"/>
          <w:szCs w:val="26"/>
        </w:rPr>
        <w:t>умеренного и низкого риска (далее - категории риска).</w:t>
      </w:r>
    </w:p>
    <w:p w:rsidR="00D40DA6" w:rsidRPr="00654B31"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54B31">
        <w:rPr>
          <w:rFonts w:ascii="PT Astra Serif" w:hAnsi="PT Astra Serif" w:cs="PT Astra Serif"/>
          <w:szCs w:val="26"/>
        </w:rPr>
        <w:t xml:space="preserve">К категории среднего риска относятся </w:t>
      </w:r>
      <w:r w:rsidR="00654B31" w:rsidRPr="00654B31">
        <w:rPr>
          <w:rFonts w:ascii="PT Astra Serif" w:hAnsi="PT Astra Serif" w:cs="PT Astra Serif"/>
          <w:szCs w:val="26"/>
        </w:rPr>
        <w:t>оператор</w:t>
      </w:r>
      <w:r w:rsidR="00654B31" w:rsidRPr="00654B31">
        <w:rPr>
          <w:rFonts w:ascii="PT Astra Serif" w:hAnsi="PT Astra Serif" w:cs="PT Astra Serif"/>
          <w:szCs w:val="26"/>
        </w:rPr>
        <w:t>ы</w:t>
      </w:r>
      <w:r w:rsidR="00654B31" w:rsidRPr="00654B31">
        <w:rPr>
          <w:rFonts w:ascii="PT Astra Serif" w:hAnsi="PT Astra Serif" w:cs="PT Astra Serif"/>
          <w:szCs w:val="26"/>
        </w:rPr>
        <w:t xml:space="preserve"> технического осмотра</w:t>
      </w:r>
      <w:r w:rsidRPr="00654B31">
        <w:rPr>
          <w:rFonts w:ascii="PT Astra Serif" w:hAnsi="PT Astra Serif" w:cs="PT Astra Serif"/>
          <w:szCs w:val="26"/>
        </w:rPr>
        <w:t xml:space="preserve">, имеющие размер </w:t>
      </w:r>
      <w:r w:rsidR="00654B31" w:rsidRPr="00654B31">
        <w:rPr>
          <w:rFonts w:ascii="PT Astra Serif" w:hAnsi="PT Astra Serif" w:cs="PT Astra Serif"/>
          <w:szCs w:val="26"/>
        </w:rPr>
        <w:t>годов</w:t>
      </w:r>
      <w:r w:rsidRPr="00654B31">
        <w:rPr>
          <w:rFonts w:ascii="PT Astra Serif" w:hAnsi="PT Astra Serif" w:cs="PT Astra Serif"/>
          <w:szCs w:val="26"/>
        </w:rPr>
        <w:t>ой валовой выручки за предыдущий год свыше 2 млрд</w:t>
      </w:r>
      <w:r w:rsidR="00505327" w:rsidRPr="00654B31">
        <w:rPr>
          <w:rFonts w:ascii="PT Astra Serif" w:hAnsi="PT Astra Serif" w:cs="PT Astra Serif"/>
          <w:szCs w:val="26"/>
        </w:rPr>
        <w:t>.</w:t>
      </w:r>
      <w:r w:rsidRPr="00654B31">
        <w:rPr>
          <w:rFonts w:ascii="PT Astra Serif" w:hAnsi="PT Astra Serif" w:cs="PT Astra Serif"/>
          <w:szCs w:val="26"/>
        </w:rPr>
        <w:t xml:space="preserve"> рублей.</w:t>
      </w:r>
    </w:p>
    <w:p w:rsidR="00D40DA6" w:rsidRPr="00654B31" w:rsidRDefault="00D40DA6" w:rsidP="006D0EBE">
      <w:pPr>
        <w:autoSpaceDE w:val="0"/>
        <w:autoSpaceDN w:val="0"/>
        <w:adjustRightInd w:val="0"/>
        <w:spacing w:line="240" w:lineRule="auto"/>
        <w:ind w:firstLine="540"/>
        <w:jc w:val="both"/>
        <w:rPr>
          <w:rFonts w:ascii="PT Astra Serif" w:hAnsi="PT Astra Serif" w:cs="PT Astra Serif"/>
          <w:szCs w:val="26"/>
        </w:rPr>
      </w:pPr>
      <w:r w:rsidRPr="00654B31">
        <w:rPr>
          <w:rFonts w:ascii="PT Astra Serif" w:hAnsi="PT Astra Serif" w:cs="PT Astra Serif"/>
          <w:szCs w:val="26"/>
        </w:rPr>
        <w:t xml:space="preserve">К категории умеренного риска относятся </w:t>
      </w:r>
      <w:r w:rsidR="00654B31" w:rsidRPr="00654B31">
        <w:rPr>
          <w:rFonts w:ascii="PT Astra Serif" w:hAnsi="PT Astra Serif" w:cs="PT Astra Serif"/>
          <w:szCs w:val="26"/>
        </w:rPr>
        <w:t>операторы технического осмотра, имеющие размер годовой валовой выручки за предыдущий год</w:t>
      </w:r>
      <w:r w:rsidRPr="00654B31">
        <w:rPr>
          <w:rFonts w:ascii="PT Astra Serif" w:hAnsi="PT Astra Serif" w:cs="PT Astra Serif"/>
          <w:szCs w:val="26"/>
        </w:rPr>
        <w:t xml:space="preserve"> свыше 1 млрд</w:t>
      </w:r>
      <w:r w:rsidR="00505327" w:rsidRPr="00654B31">
        <w:rPr>
          <w:rFonts w:ascii="PT Astra Serif" w:hAnsi="PT Astra Serif" w:cs="PT Astra Serif"/>
          <w:szCs w:val="26"/>
        </w:rPr>
        <w:t>.</w:t>
      </w:r>
      <w:r w:rsidRPr="00654B31">
        <w:rPr>
          <w:rFonts w:ascii="PT Astra Serif" w:hAnsi="PT Astra Serif" w:cs="PT Astra Serif"/>
          <w:szCs w:val="26"/>
        </w:rPr>
        <w:t xml:space="preserve"> рублей.</w:t>
      </w:r>
    </w:p>
    <w:p w:rsidR="00D40DA6" w:rsidRPr="00654B31" w:rsidRDefault="00D40DA6" w:rsidP="006D0EBE">
      <w:pPr>
        <w:autoSpaceDE w:val="0"/>
        <w:autoSpaceDN w:val="0"/>
        <w:adjustRightInd w:val="0"/>
        <w:spacing w:line="240" w:lineRule="auto"/>
        <w:ind w:firstLine="540"/>
        <w:jc w:val="both"/>
        <w:rPr>
          <w:rFonts w:ascii="PT Astra Serif" w:hAnsi="PT Astra Serif" w:cs="PT Astra Serif"/>
          <w:szCs w:val="26"/>
        </w:rPr>
      </w:pPr>
      <w:r w:rsidRPr="00654B31">
        <w:rPr>
          <w:rFonts w:ascii="PT Astra Serif" w:hAnsi="PT Astra Serif" w:cs="PT Astra Serif"/>
          <w:szCs w:val="26"/>
        </w:rPr>
        <w:t xml:space="preserve">К категории низкого риска относятся </w:t>
      </w:r>
      <w:r w:rsidR="00654B31" w:rsidRPr="00654B31">
        <w:rPr>
          <w:rFonts w:ascii="PT Astra Serif" w:hAnsi="PT Astra Serif" w:cs="PT Astra Serif"/>
          <w:szCs w:val="26"/>
        </w:rPr>
        <w:t xml:space="preserve">операторы технического осмотра, имеющие размер годовой валовой выручки за предыдущий год </w:t>
      </w:r>
      <w:r w:rsidRPr="00654B31">
        <w:rPr>
          <w:rFonts w:ascii="PT Astra Serif" w:hAnsi="PT Astra Serif" w:cs="PT Astra Serif"/>
          <w:szCs w:val="26"/>
        </w:rPr>
        <w:t>менее 1 млрд</w:t>
      </w:r>
      <w:r w:rsidR="00505327" w:rsidRPr="00654B31">
        <w:rPr>
          <w:rFonts w:ascii="PT Astra Serif" w:hAnsi="PT Astra Serif" w:cs="PT Astra Serif"/>
          <w:szCs w:val="26"/>
        </w:rPr>
        <w:t>.</w:t>
      </w:r>
      <w:r w:rsidRPr="00654B31">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54B31">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w:t>
      </w:r>
      <w:r w:rsidRPr="006D0EBE">
        <w:rPr>
          <w:rFonts w:ascii="PT Astra Serif" w:hAnsi="PT Astra Serif"/>
          <w:szCs w:val="26"/>
        </w:rPr>
        <w:t xml:space="preserve">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w:t>
      </w:r>
      <w:proofErr w:type="gramStart"/>
      <w:r w:rsidRPr="006D0EBE">
        <w:rPr>
          <w:rFonts w:ascii="PT Astra Serif" w:hAnsi="PT Astra Serif"/>
          <w:sz w:val="26"/>
          <w:szCs w:val="26"/>
        </w:rPr>
        <w:t xml:space="preserve">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w:t>
      </w:r>
      <w:proofErr w:type="gramEnd"/>
      <w:r w:rsidR="0095309F" w:rsidRPr="006D0EBE">
        <w:rPr>
          <w:rFonts w:ascii="PT Astra Serif" w:hAnsi="PT Astra Serif"/>
          <w:sz w:val="26"/>
          <w:szCs w:val="26"/>
        </w:rPr>
        <w:t xml:space="preserve">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 xml:space="preserve">Департамента тарифного регулирования </w:t>
      </w:r>
      <w:r w:rsidR="0095309F" w:rsidRPr="006D0EBE">
        <w:rPr>
          <w:rFonts w:ascii="PT Astra Serif" w:hAnsi="PT Astra Serif" w:cs="PT Astra Serif"/>
          <w:sz w:val="26"/>
          <w:szCs w:val="26"/>
        </w:rPr>
        <w:lastRenderedPageBreak/>
        <w:t>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xml:space="preserve">. Срок проведения выездной проверки не может превышать 10 рабочих дней. </w:t>
      </w:r>
      <w:proofErr w:type="gramStart"/>
      <w:r w:rsidR="00D55D08" w:rsidRPr="006D0EBE">
        <w:rPr>
          <w:rFonts w:ascii="PT Astra Serif" w:hAnsi="PT Astra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xml:space="preserve"> и которая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xml:space="preserve"> не может продолжаться более 40 часов.</w:t>
      </w:r>
      <w:proofErr w:type="gramEnd"/>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w:t>
      </w:r>
      <w:proofErr w:type="gramStart"/>
      <w:r w:rsidRPr="006D0EBE">
        <w:rPr>
          <w:rFonts w:ascii="PT Astra Serif" w:hAnsi="PT Astra Serif"/>
          <w:sz w:val="26"/>
          <w:szCs w:val="26"/>
        </w:rPr>
        <w:t xml:space="preserve">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roofErr w:type="gramEnd"/>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 xml:space="preserve">Департаментом тарифного </w:t>
      </w:r>
      <w:r w:rsidRPr="006D0EBE">
        <w:rPr>
          <w:rFonts w:ascii="PT Astra Serif" w:hAnsi="PT Astra Serif" w:cs="PT Astra Serif"/>
          <w:szCs w:val="26"/>
        </w:rPr>
        <w:lastRenderedPageBreak/>
        <w:t>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Default="009343E2"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Pr="00F44571" w:rsidRDefault="00B7132C"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Default="00CD2A3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p>
    <w:p w:rsidR="00654B31" w:rsidRDefault="00654B31" w:rsidP="006D0EBE">
      <w:pPr>
        <w:autoSpaceDE w:val="0"/>
        <w:autoSpaceDN w:val="0"/>
        <w:adjustRightInd w:val="0"/>
        <w:spacing w:line="240" w:lineRule="auto"/>
        <w:ind w:firstLine="540"/>
        <w:jc w:val="both"/>
        <w:rPr>
          <w:rFonts w:ascii="PT Astra Serif" w:hAnsi="PT Astra Serif" w:cs="PT Astra Serif"/>
          <w:szCs w:val="26"/>
        </w:rPr>
      </w:pPr>
      <w:bookmarkStart w:id="1" w:name="_GoBack"/>
      <w:bookmarkEnd w:id="1"/>
    </w:p>
    <w:p w:rsidR="0070706C" w:rsidRDefault="0070706C"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Pr="00F44571" w:rsidRDefault="00BB5B11" w:rsidP="006D0EBE">
      <w:pPr>
        <w:autoSpaceDE w:val="0"/>
        <w:autoSpaceDN w:val="0"/>
        <w:adjustRightInd w:val="0"/>
        <w:spacing w:line="240" w:lineRule="auto"/>
        <w:ind w:firstLine="540"/>
        <w:jc w:val="both"/>
        <w:rPr>
          <w:rFonts w:ascii="PT Astra Serif" w:hAnsi="PT Astra Serif" w:cs="PT Astra Serif"/>
          <w:szCs w:val="26"/>
        </w:rPr>
      </w:pPr>
    </w:p>
    <w:p w:rsidR="0070706C" w:rsidRDefault="0070706C" w:rsidP="00A53BA9">
      <w:pPr>
        <w:spacing w:line="240" w:lineRule="auto"/>
        <w:ind w:firstLine="5387"/>
        <w:jc w:val="both"/>
        <w:rPr>
          <w:rFonts w:ascii="PT Astra Serif" w:hAnsi="PT Astra Serif"/>
          <w:color w:val="000000" w:themeColor="text1"/>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w:t>
      </w:r>
      <w:r w:rsidR="0070706C"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B7132C" w:rsidRPr="0095309F">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70706C" w:rsidRPr="0070706C" w:rsidRDefault="00A53BA9" w:rsidP="00A53BA9">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 xml:space="preserve">в результате </w:t>
            </w:r>
            <w:r w:rsidRPr="0070706C">
              <w:rPr>
                <w:rFonts w:ascii="PT Astra Serif" w:hAnsi="PT Astra Serif"/>
                <w:color w:val="000000" w:themeColor="text1"/>
                <w:sz w:val="26"/>
                <w:szCs w:val="26"/>
              </w:rPr>
              <w:t xml:space="preserve">нарушений законодательства </w:t>
            </w:r>
          </w:p>
          <w:p w:rsidR="00A53BA9" w:rsidRPr="00521B67" w:rsidRDefault="0070706C" w:rsidP="0070706C">
            <w:pPr>
              <w:pStyle w:val="Other0"/>
              <w:shd w:val="clear" w:color="auto" w:fill="auto"/>
              <w:ind w:left="84"/>
              <w:jc w:val="center"/>
              <w:rPr>
                <w:rFonts w:ascii="PT Astra Serif" w:hAnsi="PT Astra Serif"/>
                <w:color w:val="000000" w:themeColor="text1"/>
                <w:sz w:val="26"/>
                <w:szCs w:val="26"/>
              </w:rPr>
            </w:pPr>
            <w:r>
              <w:rPr>
                <w:rFonts w:ascii="PT Astra Serif" w:hAnsi="PT Astra Serif" w:cs="Times New Roman"/>
                <w:sz w:val="26"/>
                <w:szCs w:val="26"/>
              </w:rPr>
              <w:t>в части не</w:t>
            </w:r>
            <w:r w:rsidRPr="0070706C">
              <w:rPr>
                <w:rFonts w:ascii="PT Astra Serif" w:hAnsi="PT Astra Serif" w:cs="Times New Roman"/>
                <w:sz w:val="26"/>
                <w:szCs w:val="26"/>
              </w:rPr>
              <w:t>соблюдени</w:t>
            </w:r>
            <w:r>
              <w:rPr>
                <w:rFonts w:ascii="PT Astra Serif" w:hAnsi="PT Astra Serif" w:cs="Times New Roman"/>
                <w:sz w:val="26"/>
                <w:szCs w:val="26"/>
              </w:rPr>
              <w:t>я</w:t>
            </w:r>
            <w:r w:rsidRPr="0070706C">
              <w:rPr>
                <w:rFonts w:ascii="PT Astra Serif" w:hAnsi="PT Astra Serif" w:cs="Times New Roman"/>
                <w:sz w:val="26"/>
                <w:szCs w:val="26"/>
              </w:rPr>
              <w:t xml:space="preserve">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Pr>
                <w:rFonts w:ascii="PT Astra Serif" w:hAnsi="PT Astra Serif" w:cs="Times New Roman"/>
                <w:sz w:val="26"/>
                <w:szCs w:val="26"/>
              </w:rPr>
              <w:t xml:space="preserve"> </w:t>
            </w:r>
            <w:r w:rsidR="00A53BA9" w:rsidRPr="00A53BA9">
              <w:rPr>
                <w:rFonts w:ascii="PT Astra Serif" w:hAnsi="PT Astra Serif" w:cs="PT Astra Serif"/>
                <w:bCs/>
                <w:sz w:val="26"/>
                <w:szCs w:val="26"/>
              </w:rPr>
              <w:t>на территории Томской области</w:t>
            </w:r>
            <w:r w:rsidR="00A53BA9">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w:t>
      </w:r>
      <w:r w:rsidR="0070706C" w:rsidRPr="00684F43">
        <w:rPr>
          <w:rFonts w:ascii="PT Astra Serif" w:hAnsi="PT Astra Serif"/>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70706C">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9A5642">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1A566F"/>
    <w:rsid w:val="002079B7"/>
    <w:rsid w:val="002252A7"/>
    <w:rsid w:val="00243DF5"/>
    <w:rsid w:val="00267765"/>
    <w:rsid w:val="002768DD"/>
    <w:rsid w:val="00345EB5"/>
    <w:rsid w:val="00450B14"/>
    <w:rsid w:val="00487C32"/>
    <w:rsid w:val="00505327"/>
    <w:rsid w:val="00575E10"/>
    <w:rsid w:val="005A4D79"/>
    <w:rsid w:val="005B11A0"/>
    <w:rsid w:val="0063319D"/>
    <w:rsid w:val="006467F7"/>
    <w:rsid w:val="00654B31"/>
    <w:rsid w:val="0068753D"/>
    <w:rsid w:val="006D0EBE"/>
    <w:rsid w:val="0070706C"/>
    <w:rsid w:val="008F6DA0"/>
    <w:rsid w:val="009343E2"/>
    <w:rsid w:val="0095309F"/>
    <w:rsid w:val="009554BA"/>
    <w:rsid w:val="00964DA1"/>
    <w:rsid w:val="009A5642"/>
    <w:rsid w:val="009B2F14"/>
    <w:rsid w:val="009E123C"/>
    <w:rsid w:val="00A53BA9"/>
    <w:rsid w:val="00A552FE"/>
    <w:rsid w:val="00B16E9B"/>
    <w:rsid w:val="00B635F6"/>
    <w:rsid w:val="00B7132C"/>
    <w:rsid w:val="00B85875"/>
    <w:rsid w:val="00BA0884"/>
    <w:rsid w:val="00BB5B11"/>
    <w:rsid w:val="00C003E7"/>
    <w:rsid w:val="00C53FB1"/>
    <w:rsid w:val="00C838F7"/>
    <w:rsid w:val="00CB79FE"/>
    <w:rsid w:val="00CD2A31"/>
    <w:rsid w:val="00D40DA6"/>
    <w:rsid w:val="00D55D08"/>
    <w:rsid w:val="00E77CB1"/>
    <w:rsid w:val="00E90B99"/>
    <w:rsid w:val="00EA7585"/>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CA6E-819A-4E59-813E-33E82456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2446</Words>
  <Characters>18922</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15</cp:revision>
  <cp:lastPrinted>2021-08-18T10:15:00Z</cp:lastPrinted>
  <dcterms:created xsi:type="dcterms:W3CDTF">2021-06-01T07:22:00Z</dcterms:created>
  <dcterms:modified xsi:type="dcterms:W3CDTF">2021-08-18T10:17:00Z</dcterms:modified>
</cp:coreProperties>
</file>