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6138"/>
      </w:tblGrid>
      <w:tr w:rsidR="001126EB" w:rsidRPr="00152741" w:rsidTr="009173B4">
        <w:tc>
          <w:tcPr>
            <w:tcW w:w="1950" w:type="pct"/>
          </w:tcPr>
          <w:p w:rsidR="001126EB" w:rsidRPr="00152741" w:rsidRDefault="0012109F" w:rsidP="00EE6458">
            <w:pPr>
              <w:pStyle w:val="a9"/>
              <w:shd w:val="clear" w:color="auto" w:fill="FFFFFF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rFonts w:ascii="PT Astra Serif" w:hAnsi="PT Astra Serif"/>
                <w:szCs w:val="26"/>
              </w:rPr>
            </w:pPr>
            <w:r w:rsidRPr="00152741">
              <w:rPr>
                <w:rFonts w:ascii="PT Astra Serif" w:hAnsi="PT Astra Serif"/>
                <w:noProof/>
                <w:szCs w:val="26"/>
              </w:rPr>
              <w:t>__</w:t>
            </w:r>
            <w:r w:rsidR="00951E58" w:rsidRPr="00152741">
              <w:rPr>
                <w:rFonts w:ascii="PT Astra Serif" w:hAnsi="PT Astra Serif"/>
                <w:noProof/>
                <w:szCs w:val="26"/>
              </w:rPr>
              <w:t>.</w:t>
            </w:r>
            <w:r w:rsidR="00EE6458">
              <w:rPr>
                <w:rFonts w:ascii="PT Astra Serif" w:hAnsi="PT Astra Serif"/>
                <w:noProof/>
                <w:szCs w:val="26"/>
              </w:rPr>
              <w:t>__</w:t>
            </w:r>
            <w:r w:rsidR="00951E58" w:rsidRPr="00152741">
              <w:rPr>
                <w:rFonts w:ascii="PT Astra Serif" w:hAnsi="PT Astra Serif"/>
                <w:noProof/>
                <w:szCs w:val="26"/>
              </w:rPr>
              <w:t>.2023</w:t>
            </w:r>
          </w:p>
        </w:tc>
        <w:tc>
          <w:tcPr>
            <w:tcW w:w="3050" w:type="pct"/>
          </w:tcPr>
          <w:p w:rsidR="008C4DA9" w:rsidRPr="00152741" w:rsidRDefault="001126EB" w:rsidP="00951E58">
            <w:pPr>
              <w:pStyle w:val="a9"/>
              <w:shd w:val="clear" w:color="auto" w:fill="FFFFFF"/>
              <w:tabs>
                <w:tab w:val="left" w:pos="5741"/>
                <w:tab w:val="left" w:pos="8522"/>
              </w:tabs>
              <w:spacing w:before="0" w:after="0"/>
              <w:ind w:firstLine="567"/>
              <w:jc w:val="right"/>
              <w:rPr>
                <w:rFonts w:ascii="PT Astra Serif" w:hAnsi="PT Astra Serif"/>
                <w:szCs w:val="26"/>
              </w:rPr>
            </w:pPr>
            <w:r w:rsidRPr="00152741">
              <w:rPr>
                <w:rFonts w:ascii="PT Astra Serif" w:hAnsi="PT Astra Serif"/>
                <w:szCs w:val="26"/>
              </w:rPr>
              <w:t>№</w:t>
            </w:r>
            <w:r w:rsidR="00583D73" w:rsidRPr="00152741">
              <w:rPr>
                <w:rFonts w:ascii="PT Astra Serif" w:hAnsi="PT Astra Serif"/>
                <w:szCs w:val="26"/>
              </w:rPr>
              <w:t>7-</w:t>
            </w:r>
            <w:r w:rsidR="00951E58" w:rsidRPr="00152741">
              <w:rPr>
                <w:rFonts w:ascii="PT Astra Serif" w:hAnsi="PT Astra Serif"/>
                <w:szCs w:val="26"/>
              </w:rPr>
              <w:t xml:space="preserve">    </w:t>
            </w:r>
            <w:r w:rsidRPr="00152741">
              <w:rPr>
                <w:rFonts w:ascii="PT Astra Serif" w:hAnsi="PT Astra Serif"/>
                <w:szCs w:val="26"/>
              </w:rPr>
              <w:t xml:space="preserve"> </w:t>
            </w:r>
          </w:p>
        </w:tc>
      </w:tr>
    </w:tbl>
    <w:p w:rsidR="00FE3988" w:rsidRPr="00152741" w:rsidRDefault="00FE3988" w:rsidP="009173B4">
      <w:pPr>
        <w:pStyle w:val="a9"/>
        <w:shd w:val="clear" w:color="auto" w:fill="FFFFFF"/>
        <w:spacing w:before="0" w:after="0"/>
        <w:jc w:val="left"/>
        <w:rPr>
          <w:rFonts w:ascii="PT Astra Serif" w:hAnsi="PT Astra Serif"/>
          <w:szCs w:val="26"/>
          <w:u w:val="single"/>
        </w:rPr>
      </w:pPr>
    </w:p>
    <w:p w:rsidR="00FE3988" w:rsidRPr="00152741" w:rsidRDefault="00FE3988" w:rsidP="009173B4">
      <w:pPr>
        <w:pStyle w:val="a9"/>
        <w:shd w:val="clear" w:color="auto" w:fill="FFFFFF"/>
        <w:spacing w:before="0" w:after="0"/>
        <w:rPr>
          <w:rFonts w:ascii="PT Astra Serif" w:hAnsi="PT Astra Serif"/>
          <w:szCs w:val="26"/>
        </w:rPr>
      </w:pPr>
      <w:r w:rsidRPr="00152741">
        <w:rPr>
          <w:rFonts w:ascii="PT Astra Serif" w:hAnsi="PT Astra Serif"/>
          <w:szCs w:val="26"/>
        </w:rPr>
        <w:t>город Томск</w:t>
      </w:r>
    </w:p>
    <w:p w:rsidR="009173B4" w:rsidRPr="00152741" w:rsidRDefault="009173B4" w:rsidP="009173B4">
      <w:pPr>
        <w:rPr>
          <w:rFonts w:ascii="PT Astra Serif" w:hAnsi="PT Astra Serif"/>
          <w:szCs w:val="26"/>
        </w:rPr>
      </w:pPr>
    </w:p>
    <w:p w:rsidR="00583D73" w:rsidRPr="00152741" w:rsidRDefault="00583D73" w:rsidP="000033E8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Cs w:val="26"/>
        </w:rPr>
      </w:pPr>
    </w:p>
    <w:p w:rsidR="0047764D" w:rsidRPr="00152741" w:rsidRDefault="000033E8" w:rsidP="000033E8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Cs w:val="26"/>
        </w:rPr>
      </w:pPr>
      <w:r w:rsidRPr="00152741">
        <w:rPr>
          <w:rFonts w:ascii="PT Astra Serif" w:hAnsi="PT Astra Serif"/>
          <w:szCs w:val="26"/>
        </w:rPr>
        <w:t>О</w:t>
      </w:r>
      <w:r w:rsidR="00583D73" w:rsidRPr="00152741">
        <w:rPr>
          <w:rFonts w:ascii="PT Astra Serif" w:hAnsi="PT Astra Serif"/>
          <w:szCs w:val="26"/>
        </w:rPr>
        <w:t xml:space="preserve">б </w:t>
      </w:r>
      <w:r w:rsidR="0012109F" w:rsidRPr="00152741">
        <w:rPr>
          <w:rFonts w:ascii="PT Astra Serif" w:hAnsi="PT Astra Serif"/>
          <w:szCs w:val="26"/>
        </w:rPr>
        <w:t>утверждении порядка согласования</w:t>
      </w:r>
      <w:r w:rsidR="0047764D" w:rsidRPr="00152741">
        <w:rPr>
          <w:rFonts w:ascii="PT Astra Serif" w:hAnsi="PT Astra Serif"/>
          <w:szCs w:val="26"/>
        </w:rPr>
        <w:t xml:space="preserve"> порядка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</w:p>
    <w:p w:rsidR="00583D73" w:rsidRPr="00152741" w:rsidRDefault="00583D73" w:rsidP="00583D73">
      <w:pPr>
        <w:ind w:firstLine="540"/>
        <w:jc w:val="both"/>
        <w:rPr>
          <w:rFonts w:ascii="PT Astra Serif" w:hAnsi="PT Astra Serif"/>
          <w:szCs w:val="26"/>
        </w:rPr>
      </w:pPr>
    </w:p>
    <w:p w:rsidR="006F6171" w:rsidRPr="00152741" w:rsidRDefault="00B647C4" w:rsidP="00146764">
      <w:pPr>
        <w:pStyle w:val="a9"/>
        <w:shd w:val="clear" w:color="auto" w:fill="FFFFFF"/>
        <w:ind w:firstLine="709"/>
        <w:jc w:val="both"/>
        <w:rPr>
          <w:rFonts w:ascii="PT Astra Serif" w:hAnsi="PT Astra Serif"/>
          <w:szCs w:val="26"/>
        </w:rPr>
      </w:pPr>
      <w:r w:rsidRPr="00152741">
        <w:rPr>
          <w:rFonts w:ascii="PT Astra Serif" w:hAnsi="PT Astra Serif"/>
          <w:szCs w:val="26"/>
        </w:rPr>
        <w:t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отходами», постановлением Правительства Российской Федерации от 03.11.2016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 и Положением о Департаменте тарифного регулирования Томской области, утвержденным постановлением Губернатора Томской области от 31.10.2012 № 145</w:t>
      </w:r>
      <w:r w:rsidR="00843CAB" w:rsidRPr="00152741">
        <w:rPr>
          <w:rFonts w:ascii="PT Astra Serif" w:hAnsi="PT Astra Serif"/>
          <w:szCs w:val="26"/>
        </w:rPr>
        <w:t>,</w:t>
      </w:r>
    </w:p>
    <w:p w:rsidR="00914799" w:rsidRPr="00152741" w:rsidRDefault="006F6171" w:rsidP="00132FEA">
      <w:r w:rsidRPr="00152741">
        <w:t>ПРИКАЗЫВАЮ</w:t>
      </w:r>
      <w:r w:rsidR="00914799" w:rsidRPr="00152741">
        <w:t>:</w:t>
      </w:r>
    </w:p>
    <w:p w:rsidR="00B647C4" w:rsidRPr="00152741" w:rsidRDefault="00B647C4" w:rsidP="00B647C4">
      <w:pPr>
        <w:jc w:val="both"/>
        <w:rPr>
          <w:rFonts w:ascii="PT Astra Serif" w:hAnsi="PT Astra Serif"/>
          <w:szCs w:val="26"/>
        </w:rPr>
      </w:pPr>
      <w:r w:rsidRPr="00152741">
        <w:rPr>
          <w:rFonts w:ascii="PT Astra Serif" w:hAnsi="PT Astra Serif"/>
          <w:szCs w:val="26"/>
        </w:rPr>
        <w:t xml:space="preserve">Утвердить Порядок </w:t>
      </w:r>
      <w:r w:rsidR="0047764D" w:rsidRPr="00152741">
        <w:rPr>
          <w:rFonts w:ascii="PT Astra Serif" w:hAnsi="PT Astra Serif"/>
          <w:szCs w:val="26"/>
        </w:rPr>
        <w:t xml:space="preserve">согласования порядка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</w:t>
      </w:r>
      <w:r w:rsidRPr="00152741">
        <w:rPr>
          <w:rFonts w:ascii="PT Astra Serif" w:hAnsi="PT Astra Serif"/>
          <w:szCs w:val="26"/>
        </w:rPr>
        <w:t>согласно приложению к настоящему приказу.</w:t>
      </w:r>
    </w:p>
    <w:p w:rsidR="00561433" w:rsidRPr="00152741" w:rsidRDefault="00561433" w:rsidP="008C4DA9">
      <w:pPr>
        <w:pStyle w:val="af1"/>
        <w:autoSpaceDE w:val="0"/>
        <w:autoSpaceDN w:val="0"/>
        <w:adjustRightInd w:val="0"/>
        <w:ind w:left="0" w:firstLine="426"/>
        <w:jc w:val="both"/>
        <w:rPr>
          <w:rFonts w:ascii="PT Astra Serif" w:hAnsi="PT Astra Serif"/>
          <w:sz w:val="24"/>
          <w:szCs w:val="24"/>
        </w:rPr>
      </w:pPr>
    </w:p>
    <w:p w:rsidR="00583D73" w:rsidRPr="00152741" w:rsidRDefault="00583D73" w:rsidP="0052713A">
      <w:pPr>
        <w:pStyle w:val="af1"/>
        <w:autoSpaceDE w:val="0"/>
        <w:autoSpaceDN w:val="0"/>
        <w:adjustRightInd w:val="0"/>
        <w:ind w:left="1134"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6138"/>
      </w:tblGrid>
      <w:tr w:rsidR="00FE3988" w:rsidRPr="00152741" w:rsidTr="009173B4">
        <w:tc>
          <w:tcPr>
            <w:tcW w:w="1950" w:type="pct"/>
          </w:tcPr>
          <w:p w:rsidR="00FE3988" w:rsidRPr="00152741" w:rsidRDefault="00C41B1E" w:rsidP="00C41B1E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И.о</w:t>
            </w:r>
            <w:proofErr w:type="spellEnd"/>
            <w:r w:rsidR="00DB5A6C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н</w:t>
            </w:r>
            <w:r w:rsidR="00FE3988" w:rsidRPr="00152741">
              <w:rPr>
                <w:rFonts w:ascii="PT Astra Serif" w:hAnsi="PT Astra Serif" w:cs="Times New Roman"/>
                <w:sz w:val="26"/>
                <w:szCs w:val="26"/>
              </w:rPr>
              <w:t>ачальник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FE3988" w:rsidRPr="00152741">
              <w:rPr>
                <w:rFonts w:ascii="PT Astra Serif" w:hAnsi="PT Astra Serif" w:cs="Times New Roman"/>
                <w:sz w:val="26"/>
                <w:szCs w:val="26"/>
              </w:rPr>
              <w:t xml:space="preserve"> департамента</w:t>
            </w:r>
          </w:p>
        </w:tc>
        <w:tc>
          <w:tcPr>
            <w:tcW w:w="3050" w:type="pct"/>
          </w:tcPr>
          <w:p w:rsidR="00FE3988" w:rsidRPr="00152741" w:rsidRDefault="00C41B1E" w:rsidP="0052713A">
            <w:pPr>
              <w:jc w:val="right"/>
              <w:rPr>
                <w:rFonts w:ascii="PT Astra Serif" w:hAnsi="PT Astra Serif"/>
                <w:szCs w:val="26"/>
              </w:rPr>
            </w:pPr>
            <w:proofErr w:type="spellStart"/>
            <w:r>
              <w:rPr>
                <w:rFonts w:ascii="PT Astra Serif" w:hAnsi="PT Astra Serif"/>
                <w:szCs w:val="26"/>
              </w:rPr>
              <w:t>В.Ю.Трапезников</w:t>
            </w:r>
            <w:proofErr w:type="spellEnd"/>
          </w:p>
        </w:tc>
      </w:tr>
    </w:tbl>
    <w:p w:rsidR="00B065F9" w:rsidRPr="00152741" w:rsidRDefault="00B065F9" w:rsidP="0052713A">
      <w:pPr>
        <w:ind w:firstLine="0"/>
        <w:rPr>
          <w:rFonts w:ascii="PT Astra Serif" w:hAnsi="PT Astra Serif"/>
          <w:color w:val="000000"/>
          <w:sz w:val="24"/>
          <w:szCs w:val="24"/>
        </w:rPr>
      </w:pPr>
    </w:p>
    <w:p w:rsidR="009173B4" w:rsidRPr="00152741" w:rsidRDefault="009173B4" w:rsidP="005F593D">
      <w:pPr>
        <w:shd w:val="clear" w:color="auto" w:fill="FFFFFF"/>
        <w:jc w:val="right"/>
        <w:rPr>
          <w:rFonts w:ascii="PT Astra Serif" w:hAnsi="PT Astra Serif"/>
          <w:color w:val="000000"/>
          <w:sz w:val="24"/>
          <w:szCs w:val="24"/>
        </w:rPr>
        <w:sectPr w:rsidR="009173B4" w:rsidRPr="00152741" w:rsidSect="00AB0A7E">
          <w:head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1134" w:right="850" w:bottom="1134" w:left="1134" w:header="720" w:footer="567" w:gutter="0"/>
          <w:cols w:space="720"/>
          <w:titlePg/>
          <w:docGrid w:linePitch="354"/>
        </w:sectPr>
      </w:pPr>
    </w:p>
    <w:p w:rsidR="00B3454C" w:rsidRPr="00152741" w:rsidRDefault="00B3454C">
      <w:pPr>
        <w:ind w:firstLine="0"/>
        <w:rPr>
          <w:rFonts w:ascii="PT Astra Serif" w:hAnsi="PT Astra Serif"/>
          <w:color w:val="000000"/>
          <w:sz w:val="24"/>
          <w:szCs w:val="24"/>
        </w:rPr>
      </w:pPr>
    </w:p>
    <w:p w:rsidR="000033E8" w:rsidRPr="00152741" w:rsidRDefault="000523BC" w:rsidP="00132FEA">
      <w:pPr>
        <w:shd w:val="clear" w:color="auto" w:fill="FFFFFF"/>
        <w:ind w:left="4820" w:firstLine="0"/>
        <w:jc w:val="right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Приложение</w:t>
      </w:r>
      <w:r w:rsidR="000033E8" w:rsidRPr="00152741">
        <w:rPr>
          <w:rFonts w:ascii="PT Astra Serif" w:hAnsi="PT Astra Serif"/>
          <w:color w:val="000000"/>
          <w:szCs w:val="26"/>
        </w:rPr>
        <w:t xml:space="preserve"> </w:t>
      </w:r>
      <w:r w:rsidR="0047764D" w:rsidRPr="00152741">
        <w:rPr>
          <w:rFonts w:ascii="PT Astra Serif" w:hAnsi="PT Astra Serif"/>
          <w:color w:val="000000"/>
          <w:szCs w:val="26"/>
        </w:rPr>
        <w:t xml:space="preserve"> </w:t>
      </w:r>
      <w:r w:rsidR="00132FEA" w:rsidRPr="00152741">
        <w:rPr>
          <w:rFonts w:ascii="PT Astra Serif" w:hAnsi="PT Astra Serif"/>
          <w:color w:val="000000"/>
          <w:szCs w:val="26"/>
        </w:rPr>
        <w:t xml:space="preserve">к приказу </w:t>
      </w:r>
      <w:r w:rsidR="000033E8" w:rsidRPr="00152741">
        <w:rPr>
          <w:rFonts w:ascii="PT Astra Serif" w:hAnsi="PT Astra Serif"/>
          <w:color w:val="000000"/>
          <w:szCs w:val="26"/>
        </w:rPr>
        <w:t>Департамента тарифного регулирования</w:t>
      </w:r>
      <w:r w:rsidR="00132FEA" w:rsidRPr="00152741">
        <w:rPr>
          <w:rFonts w:ascii="PT Astra Serif" w:hAnsi="PT Astra Serif"/>
          <w:color w:val="000000"/>
          <w:szCs w:val="26"/>
        </w:rPr>
        <w:t xml:space="preserve"> </w:t>
      </w:r>
      <w:r w:rsidR="000033E8" w:rsidRPr="00152741">
        <w:rPr>
          <w:rFonts w:ascii="PT Astra Serif" w:hAnsi="PT Astra Serif"/>
          <w:color w:val="000000"/>
          <w:szCs w:val="26"/>
        </w:rPr>
        <w:t>Томской области</w:t>
      </w:r>
      <w:r w:rsidR="00132FEA" w:rsidRPr="00152741">
        <w:rPr>
          <w:rFonts w:ascii="PT Astra Serif" w:hAnsi="PT Astra Serif"/>
          <w:color w:val="000000"/>
          <w:szCs w:val="26"/>
        </w:rPr>
        <w:t xml:space="preserve"> </w:t>
      </w:r>
      <w:r w:rsidR="000033E8" w:rsidRPr="00152741">
        <w:rPr>
          <w:rFonts w:ascii="PT Astra Serif" w:hAnsi="PT Astra Serif"/>
          <w:color w:val="000000"/>
          <w:szCs w:val="26"/>
        </w:rPr>
        <w:t xml:space="preserve">от </w:t>
      </w:r>
      <w:r w:rsidR="0047764D" w:rsidRPr="00152741">
        <w:rPr>
          <w:rFonts w:ascii="PT Astra Serif" w:hAnsi="PT Astra Serif"/>
          <w:color w:val="000000"/>
          <w:szCs w:val="26"/>
        </w:rPr>
        <w:t>__</w:t>
      </w:r>
      <w:r w:rsidR="00305A67" w:rsidRPr="00152741">
        <w:rPr>
          <w:rFonts w:ascii="PT Astra Serif" w:hAnsi="PT Astra Serif"/>
          <w:color w:val="000000"/>
          <w:szCs w:val="26"/>
        </w:rPr>
        <w:t>.02.2023</w:t>
      </w:r>
      <w:r w:rsidR="000033E8" w:rsidRPr="00152741">
        <w:rPr>
          <w:rFonts w:ascii="PT Astra Serif" w:hAnsi="PT Astra Serif"/>
          <w:color w:val="000000"/>
          <w:szCs w:val="26"/>
        </w:rPr>
        <w:t xml:space="preserve"> № 7-</w:t>
      </w:r>
    </w:p>
    <w:p w:rsidR="00305A67" w:rsidRPr="00152741" w:rsidRDefault="00305A67" w:rsidP="000033E8">
      <w:pPr>
        <w:shd w:val="clear" w:color="auto" w:fill="FFFFFF"/>
        <w:ind w:left="4820" w:firstLine="0"/>
        <w:rPr>
          <w:rFonts w:ascii="PT Astra Serif" w:hAnsi="PT Astra Serif"/>
          <w:color w:val="000000"/>
          <w:szCs w:val="26"/>
        </w:rPr>
      </w:pPr>
    </w:p>
    <w:p w:rsidR="0047764D" w:rsidRPr="00152741" w:rsidRDefault="0047764D" w:rsidP="000033E8">
      <w:pPr>
        <w:shd w:val="clear" w:color="auto" w:fill="FFFFFF"/>
        <w:ind w:left="4820" w:firstLine="0"/>
        <w:rPr>
          <w:rFonts w:ascii="PT Astra Serif" w:hAnsi="PT Astra Serif"/>
          <w:color w:val="000000"/>
          <w:szCs w:val="26"/>
        </w:rPr>
      </w:pPr>
    </w:p>
    <w:p w:rsidR="0047764D" w:rsidRPr="00152741" w:rsidRDefault="0047764D" w:rsidP="000033E8">
      <w:pPr>
        <w:shd w:val="clear" w:color="auto" w:fill="FFFFFF"/>
        <w:ind w:left="4820" w:firstLine="0"/>
        <w:rPr>
          <w:rFonts w:ascii="PT Astra Serif" w:hAnsi="PT Astra Serif"/>
          <w:color w:val="000000"/>
          <w:szCs w:val="26"/>
        </w:rPr>
      </w:pPr>
    </w:p>
    <w:p w:rsidR="0047764D" w:rsidRPr="00152741" w:rsidRDefault="0047764D" w:rsidP="0047764D">
      <w:pPr>
        <w:shd w:val="clear" w:color="auto" w:fill="FFFFFF"/>
        <w:jc w:val="center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Порядок согласования порядка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</w:p>
    <w:p w:rsidR="0047764D" w:rsidRPr="00152741" w:rsidRDefault="0047764D" w:rsidP="0047764D">
      <w:pPr>
        <w:shd w:val="clear" w:color="auto" w:fill="FFFFFF"/>
        <w:jc w:val="center"/>
        <w:rPr>
          <w:rFonts w:ascii="PT Astra Serif" w:hAnsi="PT Astra Serif"/>
          <w:color w:val="000000"/>
          <w:szCs w:val="26"/>
        </w:rPr>
      </w:pPr>
    </w:p>
    <w:p w:rsidR="0047764D" w:rsidRPr="009E64A6" w:rsidRDefault="0047764D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 xml:space="preserve">1. Настоящий Порядок </w:t>
      </w:r>
      <w:r w:rsidR="0060072C" w:rsidRPr="00152741">
        <w:rPr>
          <w:rFonts w:ascii="PT Astra Serif" w:hAnsi="PT Astra Serif"/>
          <w:color w:val="000000"/>
          <w:szCs w:val="26"/>
        </w:rPr>
        <w:t xml:space="preserve">согласования порядка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</w:t>
      </w:r>
      <w:r w:rsidRPr="00152741">
        <w:rPr>
          <w:rFonts w:ascii="PT Astra Serif" w:hAnsi="PT Astra Serif"/>
          <w:color w:val="000000"/>
          <w:szCs w:val="26"/>
        </w:rPr>
        <w:t xml:space="preserve">(далее - Порядок) разработан в соответствии с </w:t>
      </w:r>
      <w:r w:rsidR="0060072C" w:rsidRPr="00152741">
        <w:rPr>
          <w:rFonts w:ascii="PT Astra Serif" w:hAnsi="PT Astra Serif"/>
          <w:color w:val="000000"/>
          <w:szCs w:val="26"/>
        </w:rPr>
        <w:t>Федеральным законом от 24.06.1998 № 89-ФЗ «Об отходах производства и потребления», постановлением Правительства Российской Федерации от 30.05.</w:t>
      </w:r>
      <w:r w:rsidR="0060072C" w:rsidRPr="009E64A6">
        <w:rPr>
          <w:rFonts w:ascii="PT Astra Serif" w:hAnsi="PT Astra Serif"/>
          <w:color w:val="000000"/>
          <w:szCs w:val="26"/>
        </w:rPr>
        <w:t>2016 № 484 «О ценообразовании в области обращения с твердыми коммунальными отходами», постановлением Правительства Российской Федерации от 03.11.2016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</w:t>
      </w:r>
      <w:r w:rsidR="001909AF" w:rsidRPr="009E64A6">
        <w:rPr>
          <w:rFonts w:ascii="PT Astra Serif" w:hAnsi="PT Astra Serif"/>
          <w:color w:val="000000"/>
          <w:szCs w:val="26"/>
        </w:rPr>
        <w:t xml:space="preserve"> (далее – Правила проведения торгов)</w:t>
      </w:r>
      <w:r w:rsidRPr="009E64A6">
        <w:rPr>
          <w:rFonts w:ascii="PT Astra Serif" w:hAnsi="PT Astra Serif"/>
          <w:color w:val="000000"/>
          <w:szCs w:val="26"/>
        </w:rPr>
        <w:t>.</w:t>
      </w:r>
    </w:p>
    <w:p w:rsidR="0047764D" w:rsidRPr="009E64A6" w:rsidRDefault="0047764D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>2. Порядок устанавливает правила представления в Департамент тарифного регулирования Томской области (далее - Департамент)</w:t>
      </w:r>
      <w:r w:rsidR="00146764" w:rsidRPr="009E64A6">
        <w:rPr>
          <w:rFonts w:ascii="PT Astra Serif" w:hAnsi="PT Astra Serif"/>
          <w:color w:val="000000"/>
          <w:szCs w:val="26"/>
        </w:rPr>
        <w:t xml:space="preserve"> порядка</w:t>
      </w:r>
      <w:r w:rsidRPr="009E64A6">
        <w:rPr>
          <w:rFonts w:ascii="PT Astra Serif" w:hAnsi="PT Astra Serif"/>
          <w:color w:val="000000"/>
          <w:szCs w:val="26"/>
        </w:rPr>
        <w:t xml:space="preserve"> </w:t>
      </w:r>
      <w:r w:rsidR="0060072C" w:rsidRPr="009E64A6">
        <w:rPr>
          <w:rFonts w:ascii="PT Astra Serif" w:hAnsi="PT Astra Serif"/>
          <w:color w:val="000000"/>
          <w:szCs w:val="26"/>
        </w:rPr>
        <w:t>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  <w:r w:rsidR="007729A8" w:rsidRPr="009E64A6">
        <w:rPr>
          <w:rFonts w:ascii="PT Astra Serif" w:hAnsi="PT Astra Serif"/>
          <w:color w:val="000000"/>
          <w:szCs w:val="26"/>
        </w:rPr>
        <w:t xml:space="preserve"> (далее – региональный оператор)</w:t>
      </w:r>
      <w:r w:rsidR="0060072C" w:rsidRPr="009E64A6">
        <w:rPr>
          <w:rFonts w:ascii="PT Astra Serif" w:hAnsi="PT Astra Serif"/>
          <w:color w:val="000000"/>
          <w:szCs w:val="26"/>
        </w:rPr>
        <w:t>,</w:t>
      </w:r>
      <w:r w:rsidRPr="009E64A6">
        <w:rPr>
          <w:rFonts w:ascii="PT Astra Serif" w:hAnsi="PT Astra Serif"/>
          <w:color w:val="000000"/>
          <w:szCs w:val="26"/>
        </w:rPr>
        <w:t xml:space="preserve"> и требования к его представлению</w:t>
      </w:r>
      <w:r w:rsidR="005B7617" w:rsidRPr="009E64A6">
        <w:rPr>
          <w:rFonts w:ascii="PT Astra Serif" w:hAnsi="PT Astra Serif"/>
          <w:color w:val="000000"/>
          <w:szCs w:val="26"/>
        </w:rPr>
        <w:t xml:space="preserve"> для последующего согласования</w:t>
      </w:r>
      <w:r w:rsidRPr="009E64A6">
        <w:rPr>
          <w:rFonts w:ascii="PT Astra Serif" w:hAnsi="PT Astra Serif"/>
          <w:color w:val="000000"/>
          <w:szCs w:val="26"/>
        </w:rPr>
        <w:t>.</w:t>
      </w:r>
    </w:p>
    <w:p w:rsidR="00187667" w:rsidRPr="009E64A6" w:rsidRDefault="0047764D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 xml:space="preserve">3. </w:t>
      </w:r>
      <w:r w:rsidR="00187667" w:rsidRPr="009E64A6">
        <w:rPr>
          <w:rFonts w:ascii="PT Astra Serif" w:hAnsi="PT Astra Serif"/>
          <w:color w:val="000000"/>
          <w:szCs w:val="26"/>
        </w:rPr>
        <w:t xml:space="preserve">Региональный оператор в случаях, </w:t>
      </w:r>
      <w:r w:rsidR="001909AF" w:rsidRPr="009E64A6">
        <w:rPr>
          <w:rFonts w:ascii="PT Astra Serif" w:hAnsi="PT Astra Serif"/>
          <w:color w:val="000000"/>
          <w:szCs w:val="26"/>
        </w:rPr>
        <w:t xml:space="preserve">определенных </w:t>
      </w:r>
      <w:r w:rsidR="00F14B80" w:rsidRPr="009E64A6">
        <w:rPr>
          <w:rFonts w:ascii="PT Astra Serif" w:hAnsi="PT Astra Serif"/>
          <w:color w:val="FF0000"/>
          <w:szCs w:val="26"/>
        </w:rPr>
        <w:t>пунктом</w:t>
      </w:r>
      <w:r w:rsidR="001909AF" w:rsidRPr="009E64A6">
        <w:rPr>
          <w:rFonts w:ascii="PT Astra Serif" w:hAnsi="PT Astra Serif"/>
          <w:color w:val="000000"/>
          <w:szCs w:val="26"/>
        </w:rPr>
        <w:t xml:space="preserve"> 3 Правил проведения торгов, </w:t>
      </w:r>
      <w:r w:rsidR="00187667" w:rsidRPr="009E64A6">
        <w:rPr>
          <w:rFonts w:ascii="PT Astra Serif" w:hAnsi="PT Astra Serif"/>
          <w:color w:val="000000"/>
          <w:szCs w:val="26"/>
        </w:rPr>
        <w:t xml:space="preserve">в которых цены на услуги по транспортированию твердых коммунальных отходов для регионального оператора формируются по результатам торгов, направляет </w:t>
      </w:r>
      <w:r w:rsidR="006E5179" w:rsidRPr="009E64A6">
        <w:rPr>
          <w:rFonts w:ascii="PT Astra Serif" w:hAnsi="PT Astra Serif"/>
          <w:color w:val="000000"/>
          <w:szCs w:val="26"/>
        </w:rPr>
        <w:t xml:space="preserve">в Департамент </w:t>
      </w:r>
      <w:r w:rsidR="00CF2E0F" w:rsidRPr="009E64A6">
        <w:rPr>
          <w:rFonts w:ascii="PT Astra Serif" w:hAnsi="PT Astra Serif"/>
          <w:color w:val="000000"/>
          <w:szCs w:val="26"/>
        </w:rPr>
        <w:t xml:space="preserve">на предварительное согласование </w:t>
      </w:r>
      <w:r w:rsidR="00187667" w:rsidRPr="009E64A6">
        <w:rPr>
          <w:rFonts w:ascii="PT Astra Serif" w:hAnsi="PT Astra Serif"/>
          <w:color w:val="000000"/>
          <w:szCs w:val="26"/>
        </w:rPr>
        <w:t>письмо с приложением</w:t>
      </w:r>
      <w:r w:rsidR="00146764" w:rsidRPr="009E64A6">
        <w:rPr>
          <w:rFonts w:ascii="PT Astra Serif" w:hAnsi="PT Astra Serif"/>
          <w:color w:val="000000"/>
          <w:szCs w:val="26"/>
        </w:rPr>
        <w:t xml:space="preserve"> порядка</w:t>
      </w:r>
      <w:r w:rsidR="00187667" w:rsidRPr="009E64A6">
        <w:rPr>
          <w:rFonts w:ascii="PT Astra Serif" w:hAnsi="PT Astra Serif"/>
          <w:color w:val="000000"/>
          <w:szCs w:val="26"/>
        </w:rPr>
        <w:t xml:space="preserve"> </w:t>
      </w:r>
      <w:r w:rsidR="006E5179" w:rsidRPr="009E64A6">
        <w:rPr>
          <w:rFonts w:ascii="PT Astra Serif" w:hAnsi="PT Astra Serif"/>
          <w:color w:val="000000"/>
          <w:szCs w:val="26"/>
        </w:rPr>
        <w:t>расчета цены предмета торгов</w:t>
      </w:r>
      <w:r w:rsidR="00F05A89" w:rsidRPr="009E64A6">
        <w:rPr>
          <w:rFonts w:ascii="PT Astra Serif" w:hAnsi="PT Astra Serif"/>
          <w:color w:val="000000"/>
          <w:szCs w:val="26"/>
        </w:rPr>
        <w:t xml:space="preserve"> по форме согласно Приложению к Порядку</w:t>
      </w:r>
      <w:r w:rsidR="00187667" w:rsidRPr="009E64A6">
        <w:rPr>
          <w:rFonts w:ascii="PT Astra Serif" w:hAnsi="PT Astra Serif"/>
          <w:color w:val="000000"/>
          <w:szCs w:val="26"/>
        </w:rPr>
        <w:t>.</w:t>
      </w:r>
    </w:p>
    <w:p w:rsidR="004654F7" w:rsidRPr="009E64A6" w:rsidRDefault="0047764D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 xml:space="preserve">4. </w:t>
      </w:r>
      <w:r w:rsidR="00CF2E0F" w:rsidRPr="009E64A6">
        <w:rPr>
          <w:rFonts w:ascii="PT Astra Serif" w:hAnsi="PT Astra Serif"/>
          <w:color w:val="000000"/>
          <w:szCs w:val="26"/>
        </w:rPr>
        <w:t xml:space="preserve">Департамент </w:t>
      </w:r>
      <w:r w:rsidR="004654F7" w:rsidRPr="009E64A6">
        <w:rPr>
          <w:rFonts w:ascii="PT Astra Serif" w:hAnsi="PT Astra Serif"/>
          <w:color w:val="000000"/>
          <w:szCs w:val="26"/>
        </w:rPr>
        <w:t>в течение пяти рабочих дней со дня получения от регионального оператора</w:t>
      </w:r>
      <w:r w:rsidR="00146764" w:rsidRPr="009E64A6">
        <w:rPr>
          <w:rFonts w:ascii="PT Astra Serif" w:hAnsi="PT Astra Serif"/>
          <w:color w:val="000000"/>
          <w:szCs w:val="26"/>
        </w:rPr>
        <w:t xml:space="preserve"> порядка</w:t>
      </w:r>
      <w:r w:rsidR="004654F7" w:rsidRPr="009E64A6">
        <w:rPr>
          <w:rFonts w:ascii="PT Astra Serif" w:hAnsi="PT Astra Serif"/>
          <w:color w:val="000000"/>
          <w:szCs w:val="26"/>
        </w:rPr>
        <w:t xml:space="preserve"> расчета цены предмета торгов осуществляет оценку представленного</w:t>
      </w:r>
      <w:r w:rsidR="00146764" w:rsidRPr="009E64A6">
        <w:rPr>
          <w:rFonts w:ascii="PT Astra Serif" w:hAnsi="PT Astra Serif"/>
          <w:color w:val="000000"/>
          <w:szCs w:val="26"/>
        </w:rPr>
        <w:t xml:space="preserve"> порядка</w:t>
      </w:r>
      <w:r w:rsidR="004654F7" w:rsidRPr="009E64A6">
        <w:rPr>
          <w:rFonts w:ascii="PT Astra Serif" w:hAnsi="PT Astra Serif"/>
          <w:color w:val="000000"/>
          <w:szCs w:val="26"/>
        </w:rPr>
        <w:t xml:space="preserve"> расчета цены предмета торгов с целью определения его соответствия Основам ценообразования в области обращения с твердыми коммунальными отходами, утвержденным постановлением Правительства Российской Федерации от 30.05.2016 № 484 «О ценообразовании в области обращения с твердыми коммунальными отходами», и принимает решение </w:t>
      </w:r>
      <w:r w:rsidR="00DB70D3" w:rsidRPr="009E64A6">
        <w:rPr>
          <w:rFonts w:ascii="PT Astra Serif" w:hAnsi="PT Astra Serif"/>
          <w:color w:val="000000"/>
          <w:szCs w:val="26"/>
        </w:rPr>
        <w:t>о согласовании или о необходимости внесения изменений в</w:t>
      </w:r>
      <w:r w:rsidR="00146764" w:rsidRPr="009E64A6">
        <w:rPr>
          <w:rFonts w:ascii="PT Astra Serif" w:hAnsi="PT Astra Serif"/>
          <w:color w:val="000000"/>
          <w:szCs w:val="26"/>
        </w:rPr>
        <w:t xml:space="preserve"> порядок</w:t>
      </w:r>
      <w:r w:rsidR="00DB70D3" w:rsidRPr="009E64A6">
        <w:rPr>
          <w:rFonts w:ascii="PT Astra Serif" w:hAnsi="PT Astra Serif"/>
          <w:color w:val="000000"/>
          <w:szCs w:val="26"/>
        </w:rPr>
        <w:t xml:space="preserve"> расчет</w:t>
      </w:r>
      <w:r w:rsidR="00146764" w:rsidRPr="009E64A6">
        <w:rPr>
          <w:rFonts w:ascii="PT Astra Serif" w:hAnsi="PT Astra Serif"/>
          <w:color w:val="000000"/>
          <w:szCs w:val="26"/>
        </w:rPr>
        <w:t>а</w:t>
      </w:r>
      <w:r w:rsidR="00DB70D3" w:rsidRPr="009E64A6">
        <w:rPr>
          <w:rFonts w:ascii="PT Astra Serif" w:hAnsi="PT Astra Serif"/>
          <w:color w:val="000000"/>
          <w:szCs w:val="26"/>
        </w:rPr>
        <w:t xml:space="preserve"> цены предмета торгов с указанием разделов (пунктов), требующих доработки, и уведомляет регионального оператора об этом решении в течение одного рабочего дня со дня принятия такого решения.</w:t>
      </w:r>
    </w:p>
    <w:p w:rsidR="00E50FCF" w:rsidRPr="009E64A6" w:rsidRDefault="00E50FCF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lastRenderedPageBreak/>
        <w:t xml:space="preserve">Решения Департамента, указанные в абзаце первом настоящего пункта, оформляются в форме письма Департамента. </w:t>
      </w:r>
    </w:p>
    <w:p w:rsidR="00DB70D3" w:rsidRPr="009E64A6" w:rsidRDefault="00DB7BF0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 xml:space="preserve">5. </w:t>
      </w:r>
      <w:r w:rsidR="00DB70D3" w:rsidRPr="009E64A6">
        <w:rPr>
          <w:rFonts w:ascii="PT Astra Serif" w:hAnsi="PT Astra Serif"/>
          <w:color w:val="000000"/>
          <w:szCs w:val="26"/>
        </w:rPr>
        <w:t>В случае принятия Департаментом решения о необходимости внесения изменений в</w:t>
      </w:r>
      <w:r w:rsidR="00146764" w:rsidRPr="009E64A6">
        <w:rPr>
          <w:rFonts w:ascii="PT Astra Serif" w:hAnsi="PT Astra Serif"/>
          <w:color w:val="000000"/>
          <w:szCs w:val="26"/>
        </w:rPr>
        <w:t xml:space="preserve"> порядок</w:t>
      </w:r>
      <w:r w:rsidR="00DB70D3" w:rsidRPr="009E64A6">
        <w:rPr>
          <w:rFonts w:ascii="PT Astra Serif" w:hAnsi="PT Astra Serif"/>
          <w:color w:val="000000"/>
          <w:szCs w:val="26"/>
        </w:rPr>
        <w:t xml:space="preserve"> расчет</w:t>
      </w:r>
      <w:r w:rsidR="00146764" w:rsidRPr="009E64A6">
        <w:rPr>
          <w:rFonts w:ascii="PT Astra Serif" w:hAnsi="PT Astra Serif"/>
          <w:color w:val="000000"/>
          <w:szCs w:val="26"/>
        </w:rPr>
        <w:t>а</w:t>
      </w:r>
      <w:r w:rsidR="00DB70D3" w:rsidRPr="009E64A6">
        <w:rPr>
          <w:rFonts w:ascii="PT Astra Serif" w:hAnsi="PT Astra Serif"/>
          <w:color w:val="000000"/>
          <w:szCs w:val="26"/>
        </w:rPr>
        <w:t xml:space="preserve"> цены предмета торгов региональный оператор дорабатывает</w:t>
      </w:r>
      <w:r w:rsidR="00146764" w:rsidRPr="009E64A6">
        <w:rPr>
          <w:rFonts w:ascii="PT Astra Serif" w:hAnsi="PT Astra Serif"/>
          <w:color w:val="000000"/>
          <w:szCs w:val="26"/>
        </w:rPr>
        <w:t xml:space="preserve"> порядок</w:t>
      </w:r>
      <w:r w:rsidR="00DB70D3" w:rsidRPr="009E64A6">
        <w:rPr>
          <w:rFonts w:ascii="PT Astra Serif" w:hAnsi="PT Astra Serif"/>
          <w:color w:val="000000"/>
          <w:szCs w:val="26"/>
        </w:rPr>
        <w:t xml:space="preserve"> расчет</w:t>
      </w:r>
      <w:r w:rsidR="00146764" w:rsidRPr="009E64A6">
        <w:rPr>
          <w:rFonts w:ascii="PT Astra Serif" w:hAnsi="PT Astra Serif"/>
          <w:color w:val="000000"/>
          <w:szCs w:val="26"/>
        </w:rPr>
        <w:t>а</w:t>
      </w:r>
      <w:r w:rsidR="00DB70D3" w:rsidRPr="009E64A6">
        <w:rPr>
          <w:rFonts w:ascii="PT Astra Serif" w:hAnsi="PT Astra Serif"/>
          <w:color w:val="000000"/>
          <w:szCs w:val="26"/>
        </w:rPr>
        <w:t xml:space="preserve"> цены предмета торгов и направляет их на повторное предварительное согласование в Департамент в течение 10 рабочих дней со дня получения такого решения.</w:t>
      </w:r>
    </w:p>
    <w:p w:rsidR="00DB70D3" w:rsidRPr="009E64A6" w:rsidRDefault="00DB70D3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>6. По</w:t>
      </w:r>
      <w:r w:rsidR="005B7617" w:rsidRPr="009E64A6">
        <w:rPr>
          <w:rFonts w:ascii="PT Astra Serif" w:hAnsi="PT Astra Serif"/>
          <w:color w:val="000000"/>
          <w:szCs w:val="26"/>
        </w:rPr>
        <w:t>следующее</w:t>
      </w:r>
      <w:r w:rsidRPr="009E64A6">
        <w:rPr>
          <w:rFonts w:ascii="PT Astra Serif" w:hAnsi="PT Astra Serif"/>
          <w:color w:val="000000"/>
          <w:szCs w:val="26"/>
        </w:rPr>
        <w:t xml:space="preserve"> предварительное согласование</w:t>
      </w:r>
      <w:r w:rsidR="00146764" w:rsidRPr="009E64A6">
        <w:rPr>
          <w:rFonts w:ascii="PT Astra Serif" w:hAnsi="PT Astra Serif"/>
          <w:color w:val="000000"/>
          <w:szCs w:val="26"/>
        </w:rPr>
        <w:t xml:space="preserve"> порядка</w:t>
      </w:r>
      <w:r w:rsidRPr="009E64A6">
        <w:rPr>
          <w:rFonts w:ascii="PT Astra Serif" w:hAnsi="PT Astra Serif"/>
          <w:color w:val="000000"/>
          <w:szCs w:val="26"/>
        </w:rPr>
        <w:t xml:space="preserve"> расчета цены предмета торгов осуществляется в соответствии с пунктами 3 – 5 настоящего Порядка.</w:t>
      </w:r>
    </w:p>
    <w:p w:rsidR="0047764D" w:rsidRPr="009E64A6" w:rsidRDefault="00B904E3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 xml:space="preserve">7. </w:t>
      </w:r>
      <w:r w:rsidR="00146764" w:rsidRPr="009E64A6">
        <w:rPr>
          <w:rFonts w:ascii="PT Astra Serif" w:hAnsi="PT Astra Serif"/>
          <w:color w:val="000000"/>
          <w:szCs w:val="26"/>
        </w:rPr>
        <w:t>Порядок р</w:t>
      </w:r>
      <w:r w:rsidRPr="009E64A6">
        <w:rPr>
          <w:rFonts w:ascii="PT Astra Serif" w:hAnsi="PT Astra Serif"/>
          <w:color w:val="000000"/>
          <w:szCs w:val="26"/>
        </w:rPr>
        <w:t>асчет</w:t>
      </w:r>
      <w:r w:rsidR="00146764" w:rsidRPr="009E64A6">
        <w:rPr>
          <w:rFonts w:ascii="PT Astra Serif" w:hAnsi="PT Astra Serif"/>
          <w:color w:val="000000"/>
          <w:szCs w:val="26"/>
        </w:rPr>
        <w:t>а</w:t>
      </w:r>
      <w:r w:rsidRPr="009E64A6">
        <w:rPr>
          <w:rFonts w:ascii="PT Astra Serif" w:hAnsi="PT Astra Serif"/>
          <w:color w:val="000000"/>
          <w:szCs w:val="26"/>
        </w:rPr>
        <w:t xml:space="preserve">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оператора,</w:t>
      </w:r>
      <w:r w:rsidR="0047764D" w:rsidRPr="009E64A6">
        <w:rPr>
          <w:rFonts w:ascii="PT Astra Serif" w:hAnsi="PT Astra Serif"/>
          <w:color w:val="000000"/>
          <w:szCs w:val="26"/>
        </w:rPr>
        <w:t xml:space="preserve"> представляется по форм</w:t>
      </w:r>
      <w:r w:rsidR="00237008" w:rsidRPr="009E64A6">
        <w:rPr>
          <w:rFonts w:ascii="PT Astra Serif" w:hAnsi="PT Astra Serif"/>
          <w:color w:val="000000"/>
          <w:szCs w:val="26"/>
        </w:rPr>
        <w:t>ам</w:t>
      </w:r>
      <w:r w:rsidR="00FC3513" w:rsidRPr="009E64A6">
        <w:rPr>
          <w:rFonts w:ascii="PT Astra Serif" w:hAnsi="PT Astra Serif"/>
          <w:color w:val="000000"/>
          <w:szCs w:val="26"/>
        </w:rPr>
        <w:t xml:space="preserve">, </w:t>
      </w:r>
      <w:r w:rsidR="00237008" w:rsidRPr="009E64A6">
        <w:rPr>
          <w:rFonts w:ascii="PT Astra Serif" w:hAnsi="PT Astra Serif"/>
          <w:color w:val="000000"/>
          <w:szCs w:val="26"/>
        </w:rPr>
        <w:t>согласно Приложению к настоящему Порядку</w:t>
      </w:r>
      <w:r w:rsidR="0047764D" w:rsidRPr="009E64A6">
        <w:rPr>
          <w:rFonts w:ascii="PT Astra Serif" w:hAnsi="PT Astra Serif"/>
          <w:color w:val="000000"/>
          <w:szCs w:val="26"/>
        </w:rPr>
        <w:t>.</w:t>
      </w:r>
    </w:p>
    <w:p w:rsidR="00B904E3" w:rsidRPr="009E64A6" w:rsidRDefault="00B904E3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 xml:space="preserve">8. Цена предмета торгов, по результатам которых формируются цены на услуги по транспортированию твердых коммунальных отходов для регионального оператора, не может превышать фактическую стоимость транспортирования </w:t>
      </w:r>
      <w:r w:rsidR="004737E8" w:rsidRPr="009E64A6">
        <w:rPr>
          <w:rFonts w:ascii="PT Astra Serif" w:hAnsi="PT Astra Serif"/>
          <w:color w:val="000000"/>
          <w:szCs w:val="26"/>
        </w:rPr>
        <w:t xml:space="preserve">1 </w:t>
      </w:r>
      <w:proofErr w:type="spellStart"/>
      <w:r w:rsidR="004737E8" w:rsidRPr="009E64A6">
        <w:rPr>
          <w:rFonts w:ascii="PT Astra Serif" w:hAnsi="PT Astra Serif"/>
          <w:color w:val="000000"/>
          <w:szCs w:val="26"/>
        </w:rPr>
        <w:t>тн</w:t>
      </w:r>
      <w:proofErr w:type="spellEnd"/>
      <w:r w:rsidR="004737E8" w:rsidRPr="009E64A6">
        <w:rPr>
          <w:rFonts w:ascii="PT Astra Serif" w:hAnsi="PT Astra Serif"/>
          <w:color w:val="000000"/>
          <w:szCs w:val="26"/>
        </w:rPr>
        <w:t xml:space="preserve">-км (или 1 </w:t>
      </w:r>
      <w:proofErr w:type="spellStart"/>
      <w:r w:rsidR="004737E8" w:rsidRPr="009E64A6">
        <w:rPr>
          <w:rFonts w:ascii="PT Astra Serif" w:hAnsi="PT Astra Serif"/>
          <w:color w:val="000000"/>
          <w:szCs w:val="26"/>
        </w:rPr>
        <w:t>куб.м</w:t>
      </w:r>
      <w:proofErr w:type="spellEnd"/>
      <w:r w:rsidR="004737E8" w:rsidRPr="009E64A6">
        <w:rPr>
          <w:rFonts w:ascii="PT Astra Serif" w:hAnsi="PT Astra Serif"/>
          <w:color w:val="000000"/>
          <w:szCs w:val="26"/>
        </w:rPr>
        <w:t xml:space="preserve">.-км) </w:t>
      </w:r>
      <w:r w:rsidRPr="009E64A6">
        <w:rPr>
          <w:rFonts w:ascii="PT Astra Serif" w:hAnsi="PT Astra Serif"/>
          <w:color w:val="000000"/>
          <w:szCs w:val="26"/>
        </w:rPr>
        <w:t xml:space="preserve">твердых коммунальных отходов собственными силами регионального оператора за </w:t>
      </w:r>
      <w:r w:rsidR="00DE75F3" w:rsidRPr="009E64A6">
        <w:rPr>
          <w:rFonts w:ascii="PT Astra Serif" w:hAnsi="PT Astra Serif"/>
          <w:color w:val="000000"/>
          <w:szCs w:val="26"/>
        </w:rPr>
        <w:t xml:space="preserve">полный </w:t>
      </w:r>
      <w:r w:rsidRPr="009E64A6">
        <w:rPr>
          <w:rFonts w:ascii="PT Astra Serif" w:hAnsi="PT Astra Serif"/>
          <w:color w:val="000000"/>
          <w:szCs w:val="26"/>
        </w:rPr>
        <w:t>финансовый год</w:t>
      </w:r>
      <w:r w:rsidR="00DE75F3" w:rsidRPr="009E64A6">
        <w:rPr>
          <w:rFonts w:ascii="PT Astra Serif" w:hAnsi="PT Astra Serif"/>
          <w:color w:val="000000"/>
          <w:szCs w:val="26"/>
        </w:rPr>
        <w:t>,</w:t>
      </w:r>
      <w:r w:rsidRPr="009E64A6">
        <w:rPr>
          <w:rFonts w:ascii="PT Astra Serif" w:hAnsi="PT Astra Serif"/>
          <w:color w:val="000000"/>
          <w:szCs w:val="26"/>
        </w:rPr>
        <w:t xml:space="preserve"> </w:t>
      </w:r>
      <w:r w:rsidR="00B00274" w:rsidRPr="009E64A6">
        <w:rPr>
          <w:rFonts w:ascii="PT Astra Serif" w:hAnsi="PT Astra Serif"/>
          <w:color w:val="000000"/>
          <w:szCs w:val="26"/>
        </w:rPr>
        <w:t xml:space="preserve">за который у Департамента имеются бухгалтерская отчетность и прочие </w:t>
      </w:r>
      <w:r w:rsidR="003D2558" w:rsidRPr="009E64A6">
        <w:rPr>
          <w:rFonts w:ascii="PT Astra Serif" w:hAnsi="PT Astra Serif"/>
          <w:color w:val="000000"/>
          <w:szCs w:val="26"/>
        </w:rPr>
        <w:t xml:space="preserve">документы </w:t>
      </w:r>
      <w:r w:rsidR="00B00274" w:rsidRPr="009E64A6">
        <w:rPr>
          <w:rFonts w:ascii="PT Astra Serif" w:hAnsi="PT Astra Serif"/>
          <w:color w:val="000000"/>
          <w:szCs w:val="26"/>
        </w:rPr>
        <w:t>подтверждающие фактические расходы</w:t>
      </w:r>
      <w:r w:rsidR="003D2558" w:rsidRPr="009E64A6">
        <w:rPr>
          <w:rFonts w:ascii="PT Astra Serif" w:hAnsi="PT Astra Serif"/>
          <w:color w:val="000000"/>
          <w:szCs w:val="26"/>
        </w:rPr>
        <w:t xml:space="preserve"> регионального оператора </w:t>
      </w:r>
      <w:r w:rsidR="00B00274" w:rsidRPr="009E64A6">
        <w:rPr>
          <w:rFonts w:ascii="PT Astra Serif" w:hAnsi="PT Astra Serif"/>
          <w:color w:val="000000"/>
          <w:szCs w:val="26"/>
        </w:rPr>
        <w:t xml:space="preserve"> по транспортированию ТКО, </w:t>
      </w:r>
      <w:r w:rsidR="00DE75F3" w:rsidRPr="009E64A6">
        <w:rPr>
          <w:rFonts w:ascii="PT Astra Serif" w:hAnsi="PT Astra Serif"/>
          <w:color w:val="000000"/>
          <w:szCs w:val="26"/>
        </w:rPr>
        <w:t>с учетом индексов потребительских цен в соответствии с действующим Прогнозом социально-экономического развития Российской Федерации, увеличенную на сумму расчетной предпринимательской прибыли</w:t>
      </w:r>
      <w:r w:rsidR="005B7617" w:rsidRPr="009E64A6">
        <w:rPr>
          <w:rFonts w:ascii="PT Astra Serif" w:hAnsi="PT Astra Serif"/>
          <w:color w:val="000000"/>
          <w:szCs w:val="26"/>
        </w:rPr>
        <w:t>, определенной в соответствии с подпунктом к) пункта 90 (1)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 «О ценообразовании в области обращения с твердыми коммунальными отходами»</w:t>
      </w:r>
      <w:r w:rsidR="00DE75F3" w:rsidRPr="009E64A6">
        <w:rPr>
          <w:rFonts w:ascii="PT Astra Serif" w:hAnsi="PT Astra Serif"/>
          <w:color w:val="000000"/>
          <w:szCs w:val="26"/>
        </w:rPr>
        <w:t>.</w:t>
      </w:r>
    </w:p>
    <w:p w:rsidR="00DE75F3" w:rsidRPr="009E64A6" w:rsidRDefault="00DE75F3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>9. В случае, если по расчету регионального оператора цена предмета торгов, по результатам которых формируются цены на услуги по транспортированию твердых коммунальных отходов для регионального оператора, превышает значение, полученное исходя из фактическ</w:t>
      </w:r>
      <w:r w:rsidR="007729A8" w:rsidRPr="009E64A6">
        <w:rPr>
          <w:rFonts w:ascii="PT Astra Serif" w:hAnsi="PT Astra Serif"/>
          <w:color w:val="000000"/>
          <w:szCs w:val="26"/>
        </w:rPr>
        <w:t>ой</w:t>
      </w:r>
      <w:r w:rsidRPr="009E64A6">
        <w:rPr>
          <w:rFonts w:ascii="PT Astra Serif" w:hAnsi="PT Astra Serif"/>
          <w:color w:val="000000"/>
          <w:szCs w:val="26"/>
        </w:rPr>
        <w:t xml:space="preserve"> стоимост</w:t>
      </w:r>
      <w:r w:rsidR="007729A8" w:rsidRPr="009E64A6">
        <w:rPr>
          <w:rFonts w:ascii="PT Astra Serif" w:hAnsi="PT Astra Serif"/>
          <w:color w:val="000000"/>
          <w:szCs w:val="26"/>
        </w:rPr>
        <w:t>и</w:t>
      </w:r>
      <w:r w:rsidRPr="009E64A6">
        <w:rPr>
          <w:rFonts w:ascii="PT Astra Serif" w:hAnsi="PT Astra Serif"/>
          <w:color w:val="000000"/>
          <w:szCs w:val="26"/>
        </w:rPr>
        <w:t xml:space="preserve"> транспортирования </w:t>
      </w:r>
      <w:r w:rsidR="004737E8" w:rsidRPr="009E64A6">
        <w:rPr>
          <w:rFonts w:ascii="PT Astra Serif" w:hAnsi="PT Astra Serif"/>
          <w:color w:val="000000"/>
          <w:szCs w:val="26"/>
        </w:rPr>
        <w:t xml:space="preserve">1 </w:t>
      </w:r>
      <w:proofErr w:type="spellStart"/>
      <w:r w:rsidR="004737E8" w:rsidRPr="009E64A6">
        <w:rPr>
          <w:rFonts w:ascii="PT Astra Serif" w:hAnsi="PT Astra Serif"/>
          <w:color w:val="000000"/>
          <w:szCs w:val="26"/>
        </w:rPr>
        <w:t>тн</w:t>
      </w:r>
      <w:proofErr w:type="spellEnd"/>
      <w:r w:rsidR="004737E8" w:rsidRPr="009E64A6">
        <w:rPr>
          <w:rFonts w:ascii="PT Astra Serif" w:hAnsi="PT Astra Serif"/>
          <w:color w:val="000000"/>
          <w:szCs w:val="26"/>
        </w:rPr>
        <w:t xml:space="preserve">-км (или 1 </w:t>
      </w:r>
      <w:proofErr w:type="spellStart"/>
      <w:r w:rsidR="004737E8" w:rsidRPr="009E64A6">
        <w:rPr>
          <w:rFonts w:ascii="PT Astra Serif" w:hAnsi="PT Astra Serif"/>
          <w:color w:val="000000"/>
          <w:szCs w:val="26"/>
        </w:rPr>
        <w:t>куб.м</w:t>
      </w:r>
      <w:proofErr w:type="spellEnd"/>
      <w:r w:rsidR="004737E8" w:rsidRPr="009E64A6">
        <w:rPr>
          <w:rFonts w:ascii="PT Astra Serif" w:hAnsi="PT Astra Serif"/>
          <w:color w:val="000000"/>
          <w:szCs w:val="26"/>
        </w:rPr>
        <w:t xml:space="preserve">.-км) </w:t>
      </w:r>
      <w:r w:rsidRPr="009E64A6">
        <w:rPr>
          <w:rFonts w:ascii="PT Astra Serif" w:hAnsi="PT Astra Serif"/>
          <w:color w:val="000000"/>
          <w:szCs w:val="26"/>
        </w:rPr>
        <w:t xml:space="preserve">твердых коммунальных отходов собственными силами регионального оператора за полный финансовый год, </w:t>
      </w:r>
      <w:r w:rsidR="003D2558" w:rsidRPr="009E64A6">
        <w:rPr>
          <w:rFonts w:ascii="PT Astra Serif" w:hAnsi="PT Astra Serif"/>
          <w:color w:val="000000"/>
          <w:szCs w:val="26"/>
        </w:rPr>
        <w:t>за который у Департамента имеются бухгалтерская отчетность и прочие документы, подтверждающие фактические расходы регионального оператора по транспортированию ТКО</w:t>
      </w:r>
      <w:r w:rsidRPr="009E64A6">
        <w:rPr>
          <w:rFonts w:ascii="PT Astra Serif" w:hAnsi="PT Astra Serif"/>
          <w:color w:val="000000"/>
          <w:szCs w:val="26"/>
        </w:rPr>
        <w:t>, с учетом индексов потребительских цен в соответствии с действующим Прогнозом социально-экономического развития Российской Федерации, увеличенн</w:t>
      </w:r>
      <w:r w:rsidR="007729A8" w:rsidRPr="009E64A6">
        <w:rPr>
          <w:rFonts w:ascii="PT Astra Serif" w:hAnsi="PT Astra Serif"/>
          <w:color w:val="000000"/>
          <w:szCs w:val="26"/>
        </w:rPr>
        <w:t>ой</w:t>
      </w:r>
      <w:r w:rsidRPr="009E64A6">
        <w:rPr>
          <w:rFonts w:ascii="PT Astra Serif" w:hAnsi="PT Astra Serif"/>
          <w:color w:val="000000"/>
          <w:szCs w:val="26"/>
        </w:rPr>
        <w:t xml:space="preserve"> на сумму расчетной предпринимательской прибыли</w:t>
      </w:r>
      <w:r w:rsidR="007729A8" w:rsidRPr="009E64A6">
        <w:rPr>
          <w:rFonts w:ascii="PT Astra Serif" w:hAnsi="PT Astra Serif"/>
          <w:color w:val="000000"/>
          <w:szCs w:val="26"/>
        </w:rPr>
        <w:t>, региональный оператор предоставляет пояснения, расчеты и документы, обосновывающие данное превышение.</w:t>
      </w:r>
    </w:p>
    <w:p w:rsidR="00851AE4" w:rsidRPr="009E64A6" w:rsidRDefault="00851AE4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 xml:space="preserve">10. В случае, если </w:t>
      </w:r>
      <w:r w:rsidR="001E227A" w:rsidRPr="009E64A6">
        <w:rPr>
          <w:rFonts w:ascii="PT Astra Serif" w:hAnsi="PT Astra Serif"/>
          <w:color w:val="000000"/>
          <w:szCs w:val="26"/>
        </w:rPr>
        <w:t>срок</w:t>
      </w:r>
      <w:r w:rsidRPr="009E64A6">
        <w:rPr>
          <w:rFonts w:ascii="PT Astra Serif" w:hAnsi="PT Astra Serif"/>
          <w:color w:val="000000"/>
          <w:szCs w:val="26"/>
        </w:rPr>
        <w:t xml:space="preserve">, на который </w:t>
      </w:r>
      <w:r w:rsidR="001E227A" w:rsidRPr="009E64A6">
        <w:rPr>
          <w:rFonts w:ascii="PT Astra Serif" w:hAnsi="PT Astra Serif"/>
          <w:color w:val="000000"/>
          <w:szCs w:val="26"/>
        </w:rPr>
        <w:t xml:space="preserve">по результатам проведения торгов </w:t>
      </w:r>
      <w:r w:rsidRPr="009E64A6">
        <w:rPr>
          <w:rFonts w:ascii="PT Astra Serif" w:hAnsi="PT Astra Serif"/>
          <w:color w:val="000000"/>
          <w:szCs w:val="26"/>
        </w:rPr>
        <w:t>заключается договор на транспортирование ТКО</w:t>
      </w:r>
      <w:r w:rsidR="001E227A" w:rsidRPr="009E64A6">
        <w:rPr>
          <w:rFonts w:ascii="PT Astra Serif" w:hAnsi="PT Astra Serif"/>
          <w:color w:val="000000"/>
          <w:szCs w:val="26"/>
        </w:rPr>
        <w:t xml:space="preserve">, превышает один календарный год, цена предмета торгов, по результатам которых формируются цены на услуги по транспортированию твердых коммунальных отходов для регионального оператора, на второй и последующие годы определяется исходя из </w:t>
      </w:r>
      <w:r w:rsidR="00255174" w:rsidRPr="009E64A6">
        <w:rPr>
          <w:rFonts w:ascii="PT Astra Serif" w:hAnsi="PT Astra Serif"/>
          <w:color w:val="000000"/>
          <w:szCs w:val="26"/>
        </w:rPr>
        <w:t>суммы расходов на транспортирование ТКО сторонними организациями</w:t>
      </w:r>
      <w:r w:rsidR="009434F9" w:rsidRPr="009E64A6">
        <w:rPr>
          <w:rFonts w:ascii="PT Astra Serif" w:hAnsi="PT Astra Serif"/>
          <w:color w:val="000000"/>
          <w:szCs w:val="26"/>
        </w:rPr>
        <w:t>, принимаемой к расчету цены</w:t>
      </w:r>
      <w:r w:rsidR="001E227A" w:rsidRPr="009E64A6">
        <w:rPr>
          <w:rFonts w:ascii="PT Astra Serif" w:hAnsi="PT Astra Serif"/>
          <w:color w:val="000000"/>
          <w:szCs w:val="26"/>
        </w:rPr>
        <w:t xml:space="preserve"> предмета торгов первого года</w:t>
      </w:r>
      <w:r w:rsidR="009434F9" w:rsidRPr="009E64A6">
        <w:rPr>
          <w:rFonts w:ascii="PT Astra Serif" w:hAnsi="PT Astra Serif"/>
          <w:color w:val="000000"/>
          <w:szCs w:val="26"/>
        </w:rPr>
        <w:t>,</w:t>
      </w:r>
      <w:r w:rsidR="001E227A" w:rsidRPr="009E64A6">
        <w:rPr>
          <w:rFonts w:ascii="PT Astra Serif" w:hAnsi="PT Astra Serif"/>
          <w:color w:val="000000"/>
          <w:szCs w:val="26"/>
        </w:rPr>
        <w:t xml:space="preserve"> </w:t>
      </w:r>
      <w:r w:rsidR="009434F9" w:rsidRPr="009E64A6">
        <w:rPr>
          <w:rFonts w:ascii="PT Astra Serif" w:hAnsi="PT Astra Serif"/>
          <w:color w:val="000000"/>
          <w:szCs w:val="26"/>
        </w:rPr>
        <w:t xml:space="preserve">с учетом </w:t>
      </w:r>
      <w:r w:rsidR="001E227A" w:rsidRPr="009E64A6">
        <w:rPr>
          <w:rFonts w:ascii="PT Astra Serif" w:hAnsi="PT Astra Serif"/>
          <w:color w:val="000000"/>
          <w:szCs w:val="26"/>
        </w:rPr>
        <w:t xml:space="preserve">индексов потребительских цен на </w:t>
      </w:r>
      <w:r w:rsidR="001E227A" w:rsidRPr="009E64A6">
        <w:rPr>
          <w:rFonts w:ascii="PT Astra Serif" w:hAnsi="PT Astra Serif"/>
          <w:color w:val="000000"/>
          <w:szCs w:val="26"/>
        </w:rPr>
        <w:lastRenderedPageBreak/>
        <w:t>соответствующий год согласно действующему Прогнозу социально-экономического развития Российской Федерации</w:t>
      </w:r>
      <w:r w:rsidR="009434F9" w:rsidRPr="009E64A6">
        <w:rPr>
          <w:rFonts w:ascii="PT Astra Serif" w:hAnsi="PT Astra Serif"/>
          <w:color w:val="000000"/>
          <w:szCs w:val="26"/>
        </w:rPr>
        <w:t xml:space="preserve"> и планового количества транспортируемых </w:t>
      </w:r>
      <w:proofErr w:type="spellStart"/>
      <w:r w:rsidR="009434F9" w:rsidRPr="009E64A6">
        <w:rPr>
          <w:rFonts w:ascii="PT Astra Serif" w:hAnsi="PT Astra Serif"/>
          <w:color w:val="000000"/>
          <w:szCs w:val="26"/>
        </w:rPr>
        <w:t>тн</w:t>
      </w:r>
      <w:proofErr w:type="spellEnd"/>
      <w:r w:rsidR="009434F9" w:rsidRPr="009E64A6">
        <w:rPr>
          <w:rFonts w:ascii="PT Astra Serif" w:hAnsi="PT Astra Serif"/>
          <w:color w:val="000000"/>
          <w:szCs w:val="26"/>
        </w:rPr>
        <w:t xml:space="preserve">-км (или </w:t>
      </w:r>
      <w:proofErr w:type="spellStart"/>
      <w:r w:rsidR="009434F9" w:rsidRPr="009E64A6">
        <w:rPr>
          <w:rFonts w:ascii="PT Astra Serif" w:hAnsi="PT Astra Serif"/>
          <w:color w:val="000000"/>
          <w:szCs w:val="26"/>
        </w:rPr>
        <w:t>куб.м</w:t>
      </w:r>
      <w:proofErr w:type="spellEnd"/>
      <w:r w:rsidR="009434F9" w:rsidRPr="009E64A6">
        <w:rPr>
          <w:rFonts w:ascii="PT Astra Serif" w:hAnsi="PT Astra Serif"/>
          <w:color w:val="000000"/>
          <w:szCs w:val="26"/>
        </w:rPr>
        <w:t>.-км) твердых коммунальных отходов</w:t>
      </w:r>
      <w:r w:rsidR="001E227A" w:rsidRPr="009E64A6">
        <w:rPr>
          <w:rFonts w:ascii="PT Astra Serif" w:hAnsi="PT Astra Serif"/>
          <w:color w:val="000000"/>
          <w:szCs w:val="26"/>
        </w:rPr>
        <w:t>.</w:t>
      </w:r>
    </w:p>
    <w:p w:rsidR="0047764D" w:rsidRPr="009E64A6" w:rsidRDefault="007729A8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>1</w:t>
      </w:r>
      <w:r w:rsidR="00851AE4" w:rsidRPr="009E64A6">
        <w:rPr>
          <w:rFonts w:ascii="PT Astra Serif" w:hAnsi="PT Astra Serif"/>
          <w:color w:val="000000"/>
          <w:szCs w:val="26"/>
        </w:rPr>
        <w:t>1</w:t>
      </w:r>
      <w:r w:rsidR="0047764D" w:rsidRPr="009E64A6">
        <w:rPr>
          <w:rFonts w:ascii="PT Astra Serif" w:hAnsi="PT Astra Serif"/>
          <w:color w:val="000000"/>
          <w:szCs w:val="26"/>
        </w:rPr>
        <w:t xml:space="preserve">. </w:t>
      </w:r>
      <w:r w:rsidR="00686255" w:rsidRPr="009E64A6">
        <w:rPr>
          <w:rFonts w:ascii="PT Astra Serif" w:hAnsi="PT Astra Serif"/>
          <w:color w:val="000000"/>
          <w:szCs w:val="26"/>
        </w:rPr>
        <w:t>Порядок р</w:t>
      </w:r>
      <w:r w:rsidRPr="009E64A6">
        <w:rPr>
          <w:rFonts w:ascii="PT Astra Serif" w:hAnsi="PT Astra Serif"/>
          <w:color w:val="000000"/>
          <w:szCs w:val="26"/>
        </w:rPr>
        <w:t>асчет</w:t>
      </w:r>
      <w:r w:rsidR="00686255" w:rsidRPr="009E64A6">
        <w:rPr>
          <w:rFonts w:ascii="PT Astra Serif" w:hAnsi="PT Astra Serif"/>
          <w:color w:val="000000"/>
          <w:szCs w:val="26"/>
        </w:rPr>
        <w:t>а</w:t>
      </w:r>
      <w:r w:rsidRPr="009E64A6">
        <w:rPr>
          <w:rFonts w:ascii="PT Astra Serif" w:hAnsi="PT Astra Serif"/>
          <w:color w:val="000000"/>
          <w:szCs w:val="26"/>
        </w:rPr>
        <w:t xml:space="preserve">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</w:t>
      </w:r>
      <w:r w:rsidR="0014001D" w:rsidRPr="009E64A6">
        <w:rPr>
          <w:rFonts w:ascii="PT Astra Serif" w:hAnsi="PT Astra Serif"/>
          <w:color w:val="000000"/>
          <w:szCs w:val="26"/>
        </w:rPr>
        <w:t>,</w:t>
      </w:r>
      <w:r w:rsidR="00005C31" w:rsidRPr="009E64A6">
        <w:rPr>
          <w:rFonts w:ascii="PT Astra Serif" w:hAnsi="PT Astra Serif"/>
          <w:color w:val="000000"/>
          <w:szCs w:val="26"/>
        </w:rPr>
        <w:t xml:space="preserve"> предоставляется в электронном виде в формате </w:t>
      </w:r>
      <w:r w:rsidR="00BB22D8" w:rsidRPr="009E64A6">
        <w:rPr>
          <w:rFonts w:ascii="PT Astra Serif" w:hAnsi="PT Astra Serif"/>
          <w:color w:val="000000"/>
          <w:szCs w:val="26"/>
          <w:lang w:val="en-US"/>
        </w:rPr>
        <w:t>xlsx</w:t>
      </w:r>
      <w:r w:rsidR="00005C31" w:rsidRPr="009E64A6">
        <w:rPr>
          <w:rFonts w:ascii="PT Astra Serif" w:hAnsi="PT Astra Serif"/>
          <w:color w:val="000000"/>
          <w:szCs w:val="26"/>
        </w:rPr>
        <w:t xml:space="preserve"> с сохранением формул в ячейках</w:t>
      </w:r>
      <w:r w:rsidR="0014001D" w:rsidRPr="009E64A6">
        <w:rPr>
          <w:rFonts w:ascii="PT Astra Serif" w:hAnsi="PT Astra Serif"/>
          <w:color w:val="000000"/>
          <w:szCs w:val="26"/>
        </w:rPr>
        <w:t>, а также на бумажном носителе.</w:t>
      </w:r>
      <w:r w:rsidR="0047764D" w:rsidRPr="009E64A6">
        <w:rPr>
          <w:rFonts w:ascii="PT Astra Serif" w:hAnsi="PT Astra Serif"/>
          <w:color w:val="000000"/>
          <w:szCs w:val="26"/>
        </w:rPr>
        <w:t xml:space="preserve"> </w:t>
      </w:r>
      <w:r w:rsidR="0014001D" w:rsidRPr="009E64A6">
        <w:rPr>
          <w:rFonts w:ascii="PT Astra Serif" w:hAnsi="PT Astra Serif"/>
          <w:color w:val="000000"/>
          <w:szCs w:val="26"/>
        </w:rPr>
        <w:t>Документы, п</w:t>
      </w:r>
      <w:r w:rsidR="0047764D" w:rsidRPr="009E64A6">
        <w:rPr>
          <w:rFonts w:ascii="PT Astra Serif" w:hAnsi="PT Astra Serif"/>
          <w:color w:val="000000"/>
          <w:szCs w:val="26"/>
        </w:rPr>
        <w:t xml:space="preserve">рилагаемые </w:t>
      </w:r>
      <w:r w:rsidR="0014001D" w:rsidRPr="009E64A6">
        <w:rPr>
          <w:rFonts w:ascii="PT Astra Serif" w:hAnsi="PT Astra Serif"/>
          <w:color w:val="000000"/>
          <w:szCs w:val="26"/>
        </w:rPr>
        <w:t xml:space="preserve">к расчету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оператора, </w:t>
      </w:r>
      <w:r w:rsidR="0047764D" w:rsidRPr="009E64A6">
        <w:rPr>
          <w:rFonts w:ascii="PT Astra Serif" w:hAnsi="PT Astra Serif"/>
          <w:color w:val="000000"/>
          <w:szCs w:val="26"/>
        </w:rPr>
        <w:t>предоставляются на бумажном носителе (документы должны быть заверены подписью руководителя или уполномоченного представителя юридического лица и печатью при ее наличии) и в электронном виде</w:t>
      </w:r>
      <w:r w:rsidR="0014001D" w:rsidRPr="009E64A6">
        <w:rPr>
          <w:rFonts w:ascii="PT Astra Serif" w:hAnsi="PT Astra Serif"/>
          <w:color w:val="000000"/>
          <w:szCs w:val="26"/>
        </w:rPr>
        <w:t>.</w:t>
      </w:r>
      <w:r w:rsidR="00B63470" w:rsidRPr="009E64A6">
        <w:rPr>
          <w:rFonts w:ascii="PT Astra Serif" w:hAnsi="PT Astra Serif"/>
          <w:color w:val="000000"/>
          <w:szCs w:val="26"/>
        </w:rPr>
        <w:t xml:space="preserve"> </w:t>
      </w:r>
      <w:r w:rsidR="0014001D" w:rsidRPr="009E64A6">
        <w:rPr>
          <w:rFonts w:ascii="PT Astra Serif" w:hAnsi="PT Astra Serif"/>
          <w:color w:val="000000"/>
          <w:szCs w:val="26"/>
        </w:rPr>
        <w:t>В случае предоставления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оператора, и прилагаемых документов в</w:t>
      </w:r>
      <w:r w:rsidR="0047764D" w:rsidRPr="009E64A6">
        <w:rPr>
          <w:rFonts w:ascii="PT Astra Serif" w:hAnsi="PT Astra Serif"/>
          <w:color w:val="000000"/>
          <w:szCs w:val="26"/>
        </w:rPr>
        <w:t xml:space="preserve"> виде электронного документа, подписанного усиленной квалифицированной электронной подписью, предоставлени</w:t>
      </w:r>
      <w:r w:rsidR="0014001D" w:rsidRPr="009E64A6">
        <w:rPr>
          <w:rFonts w:ascii="PT Astra Serif" w:hAnsi="PT Astra Serif"/>
          <w:color w:val="000000"/>
          <w:szCs w:val="26"/>
        </w:rPr>
        <w:t>е</w:t>
      </w:r>
      <w:r w:rsidR="0047764D" w:rsidRPr="009E64A6">
        <w:rPr>
          <w:rFonts w:ascii="PT Astra Serif" w:hAnsi="PT Astra Serif"/>
          <w:color w:val="000000"/>
          <w:szCs w:val="26"/>
        </w:rPr>
        <w:t xml:space="preserve"> на бумажном носителе</w:t>
      </w:r>
      <w:r w:rsidR="0014001D" w:rsidRPr="009E64A6">
        <w:rPr>
          <w:rFonts w:ascii="PT Astra Serif" w:hAnsi="PT Astra Serif"/>
          <w:color w:val="000000"/>
          <w:szCs w:val="26"/>
        </w:rPr>
        <w:t xml:space="preserve"> не требуется</w:t>
      </w:r>
      <w:r w:rsidR="0047764D" w:rsidRPr="009E64A6">
        <w:rPr>
          <w:rFonts w:ascii="PT Astra Serif" w:hAnsi="PT Astra Serif"/>
          <w:color w:val="000000"/>
          <w:szCs w:val="26"/>
        </w:rPr>
        <w:t>.</w:t>
      </w:r>
    </w:p>
    <w:p w:rsidR="00974F17" w:rsidRPr="009E64A6" w:rsidRDefault="00974F17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br w:type="page"/>
      </w:r>
    </w:p>
    <w:p w:rsidR="0047764D" w:rsidRPr="009E64A6" w:rsidRDefault="00974F17" w:rsidP="00132FEA">
      <w:pPr>
        <w:shd w:val="clear" w:color="auto" w:fill="FFFFFF"/>
        <w:ind w:left="4820" w:firstLine="0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lastRenderedPageBreak/>
        <w:t xml:space="preserve">Приложение </w:t>
      </w:r>
      <w:r w:rsidR="00132FEA" w:rsidRPr="009E64A6">
        <w:rPr>
          <w:rFonts w:ascii="PT Astra Serif" w:hAnsi="PT Astra Serif"/>
          <w:color w:val="000000"/>
          <w:szCs w:val="26"/>
        </w:rPr>
        <w:t>к Порядку согласования порядка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</w:p>
    <w:p w:rsidR="00974F17" w:rsidRPr="009E64A6" w:rsidRDefault="00974F17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</w:p>
    <w:p w:rsidR="00974F17" w:rsidRPr="009E64A6" w:rsidRDefault="00974F17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</w:p>
    <w:p w:rsidR="00974F17" w:rsidRPr="00152741" w:rsidRDefault="00974F17" w:rsidP="00974F17">
      <w:pPr>
        <w:shd w:val="clear" w:color="auto" w:fill="FFFFFF"/>
        <w:jc w:val="center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t xml:space="preserve">Форма </w:t>
      </w:r>
      <w:r w:rsidR="00686255" w:rsidRPr="009E64A6">
        <w:rPr>
          <w:rFonts w:ascii="PT Astra Serif" w:hAnsi="PT Astra Serif"/>
          <w:color w:val="000000"/>
          <w:szCs w:val="26"/>
        </w:rPr>
        <w:t xml:space="preserve">порядка </w:t>
      </w:r>
      <w:r w:rsidRPr="009E64A6">
        <w:rPr>
          <w:rFonts w:ascii="PT Astra Serif" w:hAnsi="PT Astra Serif"/>
          <w:color w:val="000000"/>
          <w:szCs w:val="26"/>
        </w:rPr>
        <w:t>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представляемого региональным оператором по обращению с твердыми коммунальными отходами</w:t>
      </w:r>
      <w:r w:rsidR="00B702D8" w:rsidRPr="009E64A6">
        <w:rPr>
          <w:rFonts w:ascii="PT Astra Serif" w:hAnsi="PT Astra Serif"/>
          <w:color w:val="000000"/>
          <w:szCs w:val="26"/>
        </w:rPr>
        <w:t xml:space="preserve"> (Таблицы №1 - №3)</w:t>
      </w:r>
    </w:p>
    <w:p w:rsidR="00974F17" w:rsidRPr="00152741" w:rsidRDefault="00974F17" w:rsidP="00974F17">
      <w:pPr>
        <w:shd w:val="clear" w:color="auto" w:fill="FFFFFF"/>
        <w:jc w:val="center"/>
        <w:rPr>
          <w:rFonts w:ascii="PT Astra Serif" w:hAnsi="PT Astra Serif"/>
          <w:color w:val="000000"/>
          <w:szCs w:val="26"/>
        </w:rPr>
      </w:pPr>
    </w:p>
    <w:p w:rsidR="0014001D" w:rsidRPr="00152741" w:rsidRDefault="0014001D" w:rsidP="0014001D">
      <w:pPr>
        <w:shd w:val="clear" w:color="auto" w:fill="FFFFFF"/>
        <w:jc w:val="right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Таблица №1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1A3BDE" w:rsidRPr="00152741" w:rsidTr="001A3BDE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DE" w:rsidRPr="00152741" w:rsidRDefault="001A3BDE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Наименование регионального оператора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DE" w:rsidRPr="00152741" w:rsidRDefault="001A3BDE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A3BDE" w:rsidRPr="00152741" w:rsidTr="001A3BDE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DE" w:rsidRPr="00152741" w:rsidRDefault="001A3BDE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Зона деятельности Томской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DE" w:rsidRPr="00152741" w:rsidRDefault="001A3BDE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A3BDE" w:rsidRPr="00152741" w:rsidTr="001A3BDE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DE" w:rsidRPr="00152741" w:rsidRDefault="001A3BDE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Муниципальные образования, входящие в зону деятельности Томской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DE" w:rsidRPr="00152741" w:rsidRDefault="001A3BDE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A3BDE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DE" w:rsidRPr="00152741" w:rsidRDefault="001A3BDE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Наименование населенных пунктов, включаемых в лот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DE" w:rsidRPr="00152741" w:rsidRDefault="001A3BDE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15184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84" w:rsidRPr="00152741" w:rsidRDefault="00851AE4" w:rsidP="00115184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Период</w:t>
            </w:r>
            <w:r w:rsidR="00115184" w:rsidRPr="00152741">
              <w:rPr>
                <w:sz w:val="20"/>
              </w:rPr>
              <w:t>, на который заключается договор по результатам проведения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84" w:rsidRPr="00152741" w:rsidRDefault="00115184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E236F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6F" w:rsidRPr="00152741" w:rsidRDefault="001E236F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ИПЦ</w:t>
            </w:r>
            <w:r w:rsidRPr="00152741">
              <w:rPr>
                <w:sz w:val="20"/>
                <w:vertAlign w:val="subscript"/>
                <w:lang w:val="en-US"/>
              </w:rPr>
              <w:t>i-1</w:t>
            </w:r>
            <w:r w:rsidRPr="00152741">
              <w:rPr>
                <w:sz w:val="20"/>
              </w:rPr>
              <w:t>/ИПЦ</w:t>
            </w:r>
            <w:r w:rsidRPr="00152741">
              <w:rPr>
                <w:sz w:val="20"/>
                <w:vertAlign w:val="subscript"/>
                <w:lang w:val="en-US"/>
              </w:rPr>
              <w:t>i-2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36F" w:rsidRPr="00152741" w:rsidRDefault="001E236F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15184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84" w:rsidRPr="00152741" w:rsidRDefault="00115184" w:rsidP="001A3BDE">
            <w:pPr>
              <w:ind w:firstLine="0"/>
              <w:rPr>
                <w:sz w:val="20"/>
                <w:vertAlign w:val="subscript"/>
                <w:lang w:val="en-US"/>
              </w:rPr>
            </w:pPr>
            <w:r w:rsidRPr="00152741">
              <w:rPr>
                <w:sz w:val="20"/>
              </w:rPr>
              <w:t>ИПЦ</w:t>
            </w:r>
            <w:proofErr w:type="spellStart"/>
            <w:r w:rsidRPr="00152741">
              <w:rPr>
                <w:sz w:val="20"/>
                <w:vertAlign w:val="subscript"/>
                <w:lang w:val="en-US"/>
              </w:rPr>
              <w:t>i</w:t>
            </w:r>
            <w:proofErr w:type="spellEnd"/>
            <w:r w:rsidRPr="00152741">
              <w:rPr>
                <w:sz w:val="20"/>
              </w:rPr>
              <w:t>/ИПЦ</w:t>
            </w:r>
            <w:r w:rsidR="001E236F" w:rsidRPr="00152741">
              <w:rPr>
                <w:sz w:val="20"/>
                <w:vertAlign w:val="subscript"/>
                <w:lang w:val="en-US"/>
              </w:rPr>
              <w:t>i-1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84" w:rsidRPr="00152741" w:rsidRDefault="00115184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15184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84" w:rsidRPr="00152741" w:rsidRDefault="001E236F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ИПЦ</w:t>
            </w:r>
            <w:r w:rsidRPr="00152741">
              <w:rPr>
                <w:sz w:val="20"/>
                <w:vertAlign w:val="subscript"/>
                <w:lang w:val="en-US"/>
              </w:rPr>
              <w:t>i+1</w:t>
            </w:r>
            <w:r w:rsidRPr="00152741">
              <w:rPr>
                <w:sz w:val="20"/>
              </w:rPr>
              <w:t>/ИПЦ</w:t>
            </w:r>
            <w:proofErr w:type="spellStart"/>
            <w:r w:rsidRPr="00152741">
              <w:rPr>
                <w:sz w:val="2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84" w:rsidRPr="00152741" w:rsidRDefault="00115184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15184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84" w:rsidRPr="00152741" w:rsidRDefault="001E236F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ИПЦ</w:t>
            </w:r>
            <w:r w:rsidRPr="00152741">
              <w:rPr>
                <w:sz w:val="20"/>
                <w:vertAlign w:val="subscript"/>
                <w:lang w:val="en-US"/>
              </w:rPr>
              <w:t>i+2</w:t>
            </w:r>
            <w:r w:rsidRPr="00152741">
              <w:rPr>
                <w:sz w:val="20"/>
              </w:rPr>
              <w:t>/ИПЦ</w:t>
            </w:r>
            <w:r w:rsidRPr="00152741">
              <w:rPr>
                <w:sz w:val="20"/>
                <w:vertAlign w:val="subscript"/>
                <w:lang w:val="en-US"/>
              </w:rPr>
              <w:t>i+1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84" w:rsidRPr="00152741" w:rsidRDefault="00115184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A3BDE" w:rsidRPr="00152741" w:rsidRDefault="001A3BDE" w:rsidP="0014001D">
      <w:pPr>
        <w:shd w:val="clear" w:color="auto" w:fill="FFFFFF"/>
        <w:ind w:firstLine="0"/>
        <w:jc w:val="center"/>
        <w:rPr>
          <w:rFonts w:ascii="PT Astra Serif" w:hAnsi="PT Astra Serif"/>
          <w:color w:val="000000"/>
          <w:sz w:val="12"/>
          <w:szCs w:val="1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6"/>
        <w:gridCol w:w="3152"/>
        <w:gridCol w:w="1276"/>
        <w:gridCol w:w="1984"/>
        <w:gridCol w:w="1985"/>
      </w:tblGrid>
      <w:tr w:rsidR="00974F17" w:rsidRPr="00152741" w:rsidTr="001A3BDE">
        <w:trPr>
          <w:trHeight w:val="315"/>
          <w:tblHeader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№ п/п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Наименование статей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17" w:rsidRPr="00152741" w:rsidRDefault="00115184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(i-</w:t>
            </w:r>
            <w:r w:rsidR="001E236F"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2</w:t>
            </w: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) </w:t>
            </w:r>
            <w:r w:rsidR="00974F17" w:rsidRPr="00152741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B2865" w:rsidRPr="00152741" w:rsidRDefault="009B2865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17" w:rsidRPr="00152741" w:rsidRDefault="00115184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(i+1) </w:t>
            </w:r>
            <w:r w:rsidR="00974F17" w:rsidRPr="00152741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B2865" w:rsidRPr="00152741" w:rsidRDefault="009B2865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</w:tr>
      <w:tr w:rsidR="00974F17" w:rsidRPr="00152741" w:rsidTr="001A3BDE">
        <w:trPr>
          <w:trHeight w:val="1095"/>
          <w:tblHeader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Факт</w:t>
            </w:r>
            <w:r w:rsidR="009B2865" w:rsidRPr="00152741">
              <w:rPr>
                <w:rFonts w:ascii="PT Astra Serif" w:hAnsi="PT Astra Serif"/>
                <w:bCs/>
                <w:sz w:val="20"/>
              </w:rPr>
              <w:t>ические показатели деятельности регионального оператора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1E236F" w:rsidP="001E236F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Показатели для р</w:t>
            </w:r>
            <w:r w:rsidR="009B2865" w:rsidRPr="00152741">
              <w:rPr>
                <w:rFonts w:ascii="PT Astra Serif" w:hAnsi="PT Astra Serif"/>
                <w:bCs/>
                <w:sz w:val="20"/>
              </w:rPr>
              <w:t>асчет</w:t>
            </w:r>
            <w:r w:rsidRPr="00152741">
              <w:rPr>
                <w:rFonts w:ascii="PT Astra Serif" w:hAnsi="PT Astra Serif"/>
                <w:bCs/>
                <w:sz w:val="20"/>
              </w:rPr>
              <w:t>а</w:t>
            </w:r>
            <w:r w:rsidR="009B2865" w:rsidRPr="00152741">
              <w:rPr>
                <w:rFonts w:ascii="PT Astra Serif" w:hAnsi="PT Astra Serif"/>
                <w:bCs/>
                <w:sz w:val="20"/>
              </w:rPr>
              <w:t xml:space="preserve"> цены предмета торгов, по результатам которых формируются цены на услуги по транспортированию ТКО для регионального оператора по обращению с ТКО, предлагаемый региональным оператором</w:t>
            </w:r>
          </w:p>
        </w:tc>
      </w:tr>
      <w:tr w:rsidR="00974F17" w:rsidRPr="00152741" w:rsidTr="001A3BDE">
        <w:trPr>
          <w:trHeight w:val="1065"/>
          <w:tblHeader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транспортирование ТКО собственными силами регионального оператора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транспортирование ТКО силами сторонних организаций</w:t>
            </w:r>
          </w:p>
        </w:tc>
      </w:tr>
      <w:tr w:rsidR="00974F17" w:rsidRPr="00152741" w:rsidTr="001A3BDE">
        <w:trPr>
          <w:trHeight w:val="54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lastRenderedPageBreak/>
              <w:t>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Производственные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Расходы на приобретение сырья 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горюче-смазочные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E50FCF" w:rsidP="008856F5">
            <w:pPr>
              <w:ind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материалы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1.3.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хозяйственный инвентарь и другие вспомогательные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1.4.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специальная одежда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bCs/>
                <w:color w:val="000000"/>
                <w:sz w:val="20"/>
              </w:rPr>
              <w:t>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Расходы на оплату труда и 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 основного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6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1A3BDE">
            <w:pPr>
              <w:ind w:firstLine="0"/>
              <w:rPr>
                <w:rFonts w:ascii="PT Astra Serif" w:hAnsi="PT Astra Serif"/>
                <w:i/>
                <w:iCs/>
                <w:sz w:val="20"/>
              </w:rPr>
            </w:pPr>
            <w:r w:rsidRPr="00152741">
              <w:rPr>
                <w:rFonts w:ascii="PT Astra Serif" w:hAnsi="PT Astra Serif"/>
                <w:i/>
                <w:iCs/>
                <w:sz w:val="20"/>
              </w:rPr>
              <w:t>численность основного персонала, относимого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i/>
                <w:iCs/>
                <w:sz w:val="20"/>
              </w:rPr>
            </w:pPr>
            <w:r w:rsidRPr="00152741">
              <w:rPr>
                <w:rFonts w:ascii="PT Astra Serif" w:hAnsi="PT Astra Serif"/>
                <w:i/>
                <w:iCs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i/>
                <w:i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1A3BDE">
            <w:pPr>
              <w:ind w:firstLine="0"/>
              <w:rPr>
                <w:rFonts w:ascii="PT Astra Serif" w:hAnsi="PT Astra Serif"/>
                <w:i/>
                <w:iCs/>
                <w:sz w:val="20"/>
              </w:rPr>
            </w:pPr>
            <w:r w:rsidRPr="00152741">
              <w:rPr>
                <w:rFonts w:ascii="PT Astra Serif" w:hAnsi="PT Astra Serif"/>
                <w:i/>
                <w:iCs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i/>
                <w:iCs/>
                <w:sz w:val="20"/>
              </w:rPr>
            </w:pPr>
            <w:r w:rsidRPr="00152741">
              <w:rPr>
                <w:rFonts w:ascii="PT Astra Serif" w:hAnsi="PT Astra Serif"/>
                <w:i/>
                <w:i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.2.1.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% расходов на уплату страховых взносов в ПФ, ФСС,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.2.2.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 xml:space="preserve">% платежей в ФСС от несчастных случаев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bCs/>
                <w:color w:val="000000"/>
                <w:sz w:val="20"/>
              </w:rPr>
              <w:t>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Прочие производственные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bCs/>
                <w:color w:val="000000"/>
                <w:sz w:val="20"/>
              </w:rPr>
              <w:t>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Производственные услуги сторонних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sz w:val="20"/>
              </w:rPr>
              <w:t>.1.1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sz w:val="20"/>
              </w:rPr>
              <w:t>.1.2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sz w:val="20"/>
              </w:rPr>
              <w:t>.1.3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A1557C">
        <w:trPr>
          <w:trHeight w:val="6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bCs/>
                <w:color w:val="000000"/>
                <w:sz w:val="20"/>
              </w:rPr>
              <w:t>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Производственные услуги собственных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</w:t>
            </w:r>
          </w:p>
        </w:tc>
        <w:tc>
          <w:tcPr>
            <w:tcW w:w="8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A1557C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Услуги вспомогательных производств</w:t>
            </w: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указать базу распределения (выручка, прямые расходы, ФОТ ППП, количество отработанных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DA5556" w:rsidP="00DA5556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база распределения, приходящаяся на транспортирование ТКО, (руб.,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DA5556" w:rsidP="00DA5556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Услуги вспомогательных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труда, относимые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DA5556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Численность, относимая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DA5556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4.2.1.1.2.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A1557C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56" w:rsidRPr="00152741" w:rsidRDefault="00DA5556" w:rsidP="00DA5556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Транспортные расходы (за исключением прямых расходов)</w:t>
            </w: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указать базу распределения (выручка, прямые расходы, ФОТ ППП, количество отработанных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база распределения, приходящаяся на транспортирование ТКО, (руб.,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Транспортные расходы (за исключением прямых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557C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труда, относимые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Численность, относимая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</w:t>
            </w:r>
            <w:r w:rsidR="00DA5556" w:rsidRPr="00152741">
              <w:rPr>
                <w:rFonts w:ascii="PT Astra Serif" w:hAnsi="PT Astra Serif"/>
                <w:sz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DA555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DA555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56" w:rsidRPr="00152741" w:rsidRDefault="00DA5556" w:rsidP="00DA5556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Цеховые расходы</w:t>
            </w: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указать базу распределения (выручка, прямые расходы, ФОТ ППП, количество отработанных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база распределения, приходящаяся на транспортирование ТКО, (руб.,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Цеховые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lastRenderedPageBreak/>
              <w:t>3.2.3.1.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труда, относимые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Численность, относимая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56" w:rsidRPr="00152741" w:rsidRDefault="00DA5556" w:rsidP="006130E3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3.2.4.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4E" w:rsidRPr="00152741" w:rsidRDefault="0011074E" w:rsidP="00DA5556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Общепроизводственные расходы</w:t>
            </w:r>
          </w:p>
        </w:tc>
      </w:tr>
      <w:tr w:rsidR="0011074E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указать базу распределения (выручка, прямые расходы, ФОТ ППП, количество отработанных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база распределения, приходящаяся на транспортирование ТКО, (руб.,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Общепроизводственные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3.2.4.1.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труда, относимые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3.2.4.1.1.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Численность, относимая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3.2.4.1.2.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3.2.4.2.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3.2.4.3.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3.2.4.3.1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Охрана труда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специальная оценка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медицинский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приобретение автомобильных аптечек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моющие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специальное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3.3.6.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обслуживание навигационного оборудования (ТС)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автострахование (ОСАГО)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техосмотр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3.4.5.1.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3.4.5.2.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…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lastRenderedPageBreak/>
              <w:t>II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8856F5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Ремонтные расходы</w:t>
            </w:r>
            <w:r w:rsidR="00E50FCF">
              <w:rPr>
                <w:rFonts w:ascii="PT Astra Serif" w:hAnsi="PT Astra Serif"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4.1.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ТО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4.2.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Текущий ремонт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4.3.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Капитальный ремонт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III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1074E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Общехозяйственные расходы</w:t>
            </w: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1107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указать базу распределения (выручка, прямые расходы, ФОТ ППП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1107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 АУП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 АУП, относимого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4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 АУП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D26387">
        <w:trPr>
          <w:trHeight w:val="22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1074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5.3.1.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1074E">
        <w:trPr>
          <w:trHeight w:val="21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5.3.2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1074E">
        <w:trPr>
          <w:trHeight w:val="21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E64A6">
              <w:rPr>
                <w:rFonts w:ascii="PT Astra Serif" w:hAnsi="PT Astra Serif"/>
                <w:bCs/>
                <w:sz w:val="24"/>
                <w:szCs w:val="24"/>
              </w:rPr>
              <w:t>5.3.3.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9E64A6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1074E">
        <w:trPr>
          <w:trHeight w:val="2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E64A6">
              <w:rPr>
                <w:rFonts w:ascii="PT Astra Serif" w:hAnsi="PT Astra Serif"/>
                <w:bCs/>
                <w:sz w:val="24"/>
                <w:szCs w:val="24"/>
              </w:rPr>
              <w:t>5.3.4.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9E64A6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1074E">
        <w:trPr>
          <w:trHeight w:val="26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E64A6">
              <w:rPr>
                <w:rFonts w:ascii="PT Astra Serif" w:hAnsi="PT Astra Serif"/>
                <w:bCs/>
                <w:sz w:val="24"/>
                <w:szCs w:val="24"/>
              </w:rPr>
              <w:t>5.3.5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9E64A6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1074E">
        <w:trPr>
          <w:trHeight w:val="25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E64A6">
              <w:rPr>
                <w:rFonts w:ascii="PT Astra Serif" w:hAnsi="PT Astra Serif"/>
                <w:bCs/>
                <w:sz w:val="24"/>
                <w:szCs w:val="24"/>
              </w:rPr>
              <w:t>5.3.6.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9E64A6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1074E">
        <w:trPr>
          <w:trHeight w:val="2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5.3.6.1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9E64A6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E64A6">
              <w:rPr>
                <w:rFonts w:ascii="PT Astra Serif" w:hAnsi="PT Astra Serif"/>
                <w:bCs/>
                <w:sz w:val="24"/>
                <w:szCs w:val="24"/>
              </w:rPr>
              <w:t>IV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4A6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2F2B62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 xml:space="preserve">амортизация основных средств, </w:t>
            </w:r>
            <w:r w:rsidR="002F2B62" w:rsidRPr="009E64A6">
              <w:rPr>
                <w:rFonts w:ascii="PT Astra Serif" w:hAnsi="PT Astra Serif"/>
                <w:sz w:val="20"/>
              </w:rPr>
              <w:t>используемых</w:t>
            </w:r>
            <w:r w:rsidRPr="009E64A6">
              <w:rPr>
                <w:rFonts w:ascii="PT Astra Serif" w:hAnsi="PT Astra Serif"/>
                <w:sz w:val="20"/>
              </w:rPr>
              <w:t xml:space="preserve"> в сфере обращения с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V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2F2B62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 xml:space="preserve">Расходы на арендную плату и лизинговые платежи в отношении </w:t>
            </w:r>
            <w:r w:rsidR="002F2B62" w:rsidRPr="009E64A6">
              <w:rPr>
                <w:rFonts w:ascii="PT Astra Serif" w:hAnsi="PT Astra Serif"/>
                <w:bCs/>
                <w:sz w:val="20"/>
              </w:rPr>
              <w:t>основных</w:t>
            </w:r>
            <w:r w:rsidR="00E50FCF" w:rsidRPr="009E64A6">
              <w:rPr>
                <w:rFonts w:ascii="PT Astra Serif" w:hAnsi="PT Astra Serif"/>
                <w:bCs/>
                <w:sz w:val="20"/>
              </w:rPr>
              <w:t xml:space="preserve"> средств</w:t>
            </w:r>
            <w:r w:rsidR="002F2B62" w:rsidRPr="009E64A6">
              <w:rPr>
                <w:rFonts w:ascii="PT Astra Serif" w:hAnsi="PT Astra Serif"/>
                <w:bCs/>
                <w:sz w:val="20"/>
              </w:rPr>
              <w:t>,</w:t>
            </w:r>
            <w:r w:rsidR="002F2B62" w:rsidRPr="009E64A6">
              <w:rPr>
                <w:rFonts w:ascii="PT Astra Serif" w:hAnsi="PT Astra Serif"/>
                <w:sz w:val="20"/>
              </w:rPr>
              <w:t xml:space="preserve"> используемых </w:t>
            </w:r>
            <w:r w:rsidR="002F2B62" w:rsidRPr="009E64A6">
              <w:rPr>
                <w:rFonts w:ascii="PT Astra Serif" w:hAnsi="PT Astra Serif"/>
                <w:sz w:val="20"/>
              </w:rPr>
              <w:lastRenderedPageBreak/>
              <w:t>в сфере обращения с ТКО</w:t>
            </w:r>
            <w:r w:rsidRPr="009E64A6">
              <w:rPr>
                <w:rFonts w:ascii="PT Astra Serif" w:hAnsi="PT Astra Serif"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lastRenderedPageBreak/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lastRenderedPageBreak/>
              <w:t>7.1.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аренда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7.2.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7.3.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лизинговые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VI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Расходы по уплате налогов и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8.1.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8.2.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8.3.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плата за загрязнение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8.4.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8.5.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налог на прибыль/единый налог при УСН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8.6.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прочие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VII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Расходы, не учитываемые в целях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107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9.1.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VIII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IX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Расчетная предпринимательская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9E64A6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9E64A6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X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9E64A6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</w:tbl>
    <w:p w:rsidR="00D26387" w:rsidRPr="009E64A6" w:rsidRDefault="00D26387" w:rsidP="00974F17">
      <w:pPr>
        <w:shd w:val="clear" w:color="auto" w:fill="FFFFFF"/>
        <w:jc w:val="both"/>
        <w:rPr>
          <w:rFonts w:ascii="PT Astra Serif" w:hAnsi="PT Astra Serif"/>
          <w:color w:val="000000"/>
          <w:szCs w:val="26"/>
          <w:lang w:val="en-US"/>
        </w:rPr>
        <w:sectPr w:rsidR="00D26387" w:rsidRPr="009E64A6" w:rsidSect="009173B4">
          <w:headerReference w:type="first" r:id="rId12"/>
          <w:pgSz w:w="11907" w:h="16840" w:code="9"/>
          <w:pgMar w:top="1134" w:right="850" w:bottom="1134" w:left="1701" w:header="720" w:footer="567" w:gutter="0"/>
          <w:cols w:space="720"/>
          <w:titlePg/>
          <w:docGrid w:linePitch="354"/>
        </w:sectPr>
      </w:pPr>
    </w:p>
    <w:p w:rsidR="0011074E" w:rsidRPr="009E64A6" w:rsidRDefault="0011074E" w:rsidP="0011074E">
      <w:pPr>
        <w:shd w:val="clear" w:color="auto" w:fill="FFFFFF"/>
        <w:jc w:val="right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lastRenderedPageBreak/>
        <w:t>Таблица №2</w:t>
      </w:r>
    </w:p>
    <w:p w:rsidR="0011074E" w:rsidRPr="009E64A6" w:rsidRDefault="0011074E" w:rsidP="0011074E">
      <w:pPr>
        <w:shd w:val="clear" w:color="auto" w:fill="FFFFFF"/>
        <w:jc w:val="right"/>
        <w:rPr>
          <w:rFonts w:ascii="PT Astra Serif" w:hAnsi="PT Astra Serif"/>
          <w:color w:val="000000"/>
          <w:szCs w:val="26"/>
        </w:rPr>
      </w:pPr>
    </w:p>
    <w:tbl>
      <w:tblPr>
        <w:tblW w:w="15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864"/>
        <w:gridCol w:w="411"/>
        <w:gridCol w:w="567"/>
        <w:gridCol w:w="567"/>
        <w:gridCol w:w="567"/>
        <w:gridCol w:w="425"/>
        <w:gridCol w:w="567"/>
        <w:gridCol w:w="851"/>
        <w:gridCol w:w="708"/>
        <w:gridCol w:w="426"/>
        <w:gridCol w:w="482"/>
        <w:gridCol w:w="483"/>
        <w:gridCol w:w="452"/>
        <w:gridCol w:w="394"/>
        <w:gridCol w:w="335"/>
        <w:gridCol w:w="406"/>
        <w:gridCol w:w="708"/>
        <w:gridCol w:w="695"/>
        <w:gridCol w:w="850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898"/>
      </w:tblGrid>
      <w:tr w:rsidR="00255174" w:rsidRPr="009E64A6" w:rsidTr="00255174">
        <w:trPr>
          <w:trHeight w:val="245"/>
        </w:trPr>
        <w:tc>
          <w:tcPr>
            <w:tcW w:w="159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74" w:rsidRPr="009E64A6" w:rsidRDefault="00255174" w:rsidP="00255174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(i+1) </w:t>
            </w:r>
            <w:r w:rsidRPr="009E64A6">
              <w:rPr>
                <w:rFonts w:ascii="PT Astra Serif" w:hAnsi="PT Astra Serif"/>
                <w:bCs/>
                <w:sz w:val="20"/>
              </w:rPr>
              <w:t>год</w:t>
            </w:r>
            <w:r w:rsidR="009434F9" w:rsidRPr="009E64A6">
              <w:rPr>
                <w:rFonts w:ascii="PT Astra Serif" w:hAnsi="PT Astra Serif"/>
                <w:bCs/>
                <w:sz w:val="20"/>
              </w:rPr>
              <w:t>*</w:t>
            </w:r>
          </w:p>
          <w:p w:rsidR="00255174" w:rsidRPr="009E64A6" w:rsidRDefault="00255174" w:rsidP="00255174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bCs/>
                <w:sz w:val="12"/>
                <w:szCs w:val="12"/>
              </w:rPr>
              <w:t>(указать период)</w:t>
            </w:r>
          </w:p>
        </w:tc>
      </w:tr>
      <w:tr w:rsidR="000E7AF9" w:rsidRPr="009E64A6" w:rsidTr="000E7AF9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Географические координаты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Потребитель (население/ юр. лицо)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Количество контейнеров на площадке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Объем контейнера, </w:t>
            </w:r>
            <w:proofErr w:type="spellStart"/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куб.м</w:t>
            </w:r>
            <w:proofErr w:type="spellEnd"/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.</w:t>
            </w:r>
          </w:p>
        </w:tc>
        <w:tc>
          <w:tcPr>
            <w:tcW w:w="5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Протяженность маршрута, км.</w:t>
            </w: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Количество дней вывоза ТКО за период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B702D8" w:rsidP="00B702D8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Годовая п</w:t>
            </w:r>
            <w:r w:rsidR="00255174" w:rsidRPr="009E64A6">
              <w:rPr>
                <w:rFonts w:ascii="PT Astra Serif" w:hAnsi="PT Astra Serif"/>
                <w:color w:val="000000"/>
                <w:sz w:val="12"/>
                <w:szCs w:val="12"/>
              </w:rPr>
              <w:t>ротяженность</w:t>
            </w:r>
            <w:r w:rsidR="00D26387" w:rsidRPr="009E64A6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по маршруту, км.</w:t>
            </w:r>
          </w:p>
        </w:tc>
      </w:tr>
      <w:tr w:rsidR="000E7AF9" w:rsidRPr="009E64A6" w:rsidTr="000E7AF9">
        <w:trPr>
          <w:trHeight w:val="4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ср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ИТОГО: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Кол-во рейсов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Средневзвешенное значение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январь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март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апрель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май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июнь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август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октябрь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ноябрь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9E64A6">
              <w:rPr>
                <w:rFonts w:ascii="PT Astra Serif" w:hAnsi="PT Astra Serif"/>
                <w:sz w:val="12"/>
                <w:szCs w:val="12"/>
              </w:rPr>
              <w:t>ИТОГО за год: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</w:tr>
      <w:tr w:rsidR="000E7AF9" w:rsidRPr="009E64A6" w:rsidTr="005123BD">
        <w:trPr>
          <w:cantSplit/>
          <w:trHeight w:val="1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Район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Населенный пункт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Широта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9E64A6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9E64A6">
              <w:rPr>
                <w:rFonts w:ascii="PT Astra Serif" w:hAnsi="PT Astra Serif"/>
                <w:color w:val="000000"/>
                <w:sz w:val="12"/>
                <w:szCs w:val="12"/>
              </w:rPr>
              <w:t>Долгота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E7AF9" w:rsidRPr="009E64A6" w:rsidTr="000E7AF9">
        <w:trPr>
          <w:trHeight w:val="255"/>
        </w:trPr>
        <w:tc>
          <w:tcPr>
            <w:tcW w:w="150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Маршрут № (указать № маршрута, марку автомобиля)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4"/>
                <w:szCs w:val="14"/>
              </w:rPr>
            </w:pPr>
            <w:r w:rsidRPr="009E64A6">
              <w:rPr>
                <w:rFonts w:ascii="PT Astra Serif" w:hAnsi="PT Astra Serif"/>
                <w:sz w:val="14"/>
                <w:szCs w:val="14"/>
              </w:rPr>
              <w:t>Гараж</w:t>
            </w:r>
            <w:r w:rsidR="005123BD" w:rsidRPr="009E64A6">
              <w:rPr>
                <w:rFonts w:ascii="PT Astra Serif" w:hAnsi="PT Astra Serif"/>
                <w:sz w:val="14"/>
                <w:szCs w:val="14"/>
              </w:rPr>
              <w:t xml:space="preserve"> **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0E7AF9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0E7AF9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sz w:val="16"/>
                <w:szCs w:val="16"/>
              </w:rPr>
              <w:t>ИТОГО по маршруту</w:t>
            </w: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sz w:val="16"/>
                <w:szCs w:val="16"/>
              </w:rPr>
              <w:t> </w:t>
            </w:r>
          </w:p>
        </w:tc>
      </w:tr>
      <w:tr w:rsidR="000E7AF9" w:rsidRPr="009E64A6" w:rsidTr="000E7AF9">
        <w:trPr>
          <w:trHeight w:val="255"/>
        </w:trPr>
        <w:tc>
          <w:tcPr>
            <w:tcW w:w="150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Маршрут № (указать № маршрута, марку автомобиля)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Гараж</w:t>
            </w:r>
            <w:r w:rsidR="005123BD" w:rsidRPr="009E64A6">
              <w:rPr>
                <w:rFonts w:ascii="PT Astra Serif" w:hAnsi="PT Astra Serif"/>
                <w:sz w:val="16"/>
                <w:szCs w:val="16"/>
              </w:rPr>
              <w:t>**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5123B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9E64A6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9E64A6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9E64A6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9E64A6" w:rsidTr="000E7AF9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0E7AF9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sz w:val="16"/>
                <w:szCs w:val="16"/>
              </w:rPr>
              <w:t>ИТОГО по маршруту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sz w:val="16"/>
                <w:szCs w:val="16"/>
              </w:rPr>
              <w:t> </w:t>
            </w:r>
          </w:p>
        </w:tc>
      </w:tr>
      <w:tr w:rsidR="000E7AF9" w:rsidRPr="009E64A6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0E7AF9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sz w:val="16"/>
                <w:szCs w:val="16"/>
              </w:rPr>
              <w:t>ВСЕГО:</w:t>
            </w: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9E64A6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9E64A6">
              <w:rPr>
                <w:rFonts w:ascii="PT Astra Serif" w:hAnsi="PT Astra Serif"/>
                <w:bCs/>
                <w:sz w:val="16"/>
                <w:szCs w:val="16"/>
              </w:rPr>
              <w:t> </w:t>
            </w:r>
          </w:p>
        </w:tc>
      </w:tr>
    </w:tbl>
    <w:p w:rsidR="000E7AF9" w:rsidRPr="009E64A6" w:rsidRDefault="009434F9" w:rsidP="009434F9">
      <w:pPr>
        <w:shd w:val="clear" w:color="auto" w:fill="FFFFFF"/>
        <w:ind w:firstLine="0"/>
        <w:jc w:val="both"/>
        <w:rPr>
          <w:rFonts w:ascii="PT Astra Serif" w:hAnsi="PT Astra Serif"/>
          <w:color w:val="000000"/>
          <w:sz w:val="18"/>
          <w:szCs w:val="18"/>
        </w:rPr>
      </w:pPr>
      <w:r w:rsidRPr="009E64A6">
        <w:rPr>
          <w:rFonts w:ascii="PT Astra Serif" w:hAnsi="PT Astra Serif"/>
          <w:color w:val="000000"/>
          <w:sz w:val="18"/>
          <w:szCs w:val="18"/>
        </w:rPr>
        <w:t>* таблица 2 заполняется на каждый год планируемого периода действия договора на транспортирование твердых коммунальных отходов сторонними организациями, заключаемого по результатам торгов.</w:t>
      </w:r>
    </w:p>
    <w:p w:rsidR="009434F9" w:rsidRPr="009E64A6" w:rsidRDefault="005123BD" w:rsidP="0067231B">
      <w:pPr>
        <w:shd w:val="clear" w:color="auto" w:fill="FFFFFF"/>
        <w:ind w:firstLine="0"/>
        <w:jc w:val="both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 w:val="18"/>
          <w:szCs w:val="18"/>
        </w:rPr>
        <w:t xml:space="preserve">** в случае отсутствия </w:t>
      </w:r>
      <w:r w:rsidR="00F9574F" w:rsidRPr="009E64A6">
        <w:rPr>
          <w:rFonts w:ascii="PT Astra Serif" w:hAnsi="PT Astra Serif"/>
          <w:color w:val="000000"/>
          <w:sz w:val="18"/>
          <w:szCs w:val="18"/>
        </w:rPr>
        <w:t>сведений о местонахождении гаража</w:t>
      </w:r>
      <w:r w:rsidR="0067231B" w:rsidRPr="009E64A6">
        <w:rPr>
          <w:rFonts w:ascii="PT Astra Serif" w:hAnsi="PT Astra Serif"/>
          <w:color w:val="000000"/>
          <w:sz w:val="18"/>
          <w:szCs w:val="18"/>
        </w:rPr>
        <w:t>,</w:t>
      </w:r>
      <w:r w:rsidR="00F9574F" w:rsidRPr="009E64A6">
        <w:rPr>
          <w:rFonts w:ascii="PT Astra Serif" w:hAnsi="PT Astra Serif"/>
          <w:color w:val="000000"/>
          <w:sz w:val="18"/>
          <w:szCs w:val="18"/>
        </w:rPr>
        <w:t xml:space="preserve"> данная информация в таблице не отображается. В таблице указывается расчетное значение </w:t>
      </w:r>
      <w:r w:rsidR="0067231B" w:rsidRPr="009E64A6">
        <w:rPr>
          <w:rFonts w:ascii="PT Astra Serif" w:hAnsi="PT Astra Serif"/>
          <w:color w:val="000000"/>
          <w:sz w:val="18"/>
          <w:szCs w:val="18"/>
        </w:rPr>
        <w:t>от начальной точки маршрута (гаража) до первой точки маршрута, принятое в расчет НМЦК.</w:t>
      </w:r>
    </w:p>
    <w:p w:rsidR="009434F9" w:rsidRPr="009E64A6" w:rsidRDefault="009434F9" w:rsidP="0011074E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  <w:sectPr w:rsidR="009434F9" w:rsidRPr="009E64A6" w:rsidSect="00D26387">
          <w:pgSz w:w="16840" w:h="11907" w:orient="landscape" w:code="9"/>
          <w:pgMar w:top="1701" w:right="1134" w:bottom="850" w:left="1134" w:header="720" w:footer="567" w:gutter="0"/>
          <w:cols w:space="720"/>
          <w:titlePg/>
          <w:docGrid w:linePitch="354"/>
        </w:sectPr>
      </w:pPr>
    </w:p>
    <w:p w:rsidR="0011074E" w:rsidRPr="009E64A6" w:rsidRDefault="000E7AF9" w:rsidP="000E7AF9">
      <w:pPr>
        <w:shd w:val="clear" w:color="auto" w:fill="FFFFFF"/>
        <w:ind w:firstLine="0"/>
        <w:jc w:val="right"/>
        <w:rPr>
          <w:rFonts w:ascii="PT Astra Serif" w:hAnsi="PT Astra Serif"/>
          <w:color w:val="000000"/>
          <w:szCs w:val="26"/>
        </w:rPr>
      </w:pPr>
      <w:r w:rsidRPr="009E64A6">
        <w:rPr>
          <w:rFonts w:ascii="PT Astra Serif" w:hAnsi="PT Astra Serif"/>
          <w:color w:val="000000"/>
          <w:szCs w:val="26"/>
        </w:rPr>
        <w:lastRenderedPageBreak/>
        <w:t>Таблица №3</w:t>
      </w:r>
    </w:p>
    <w:p w:rsidR="000E7AF9" w:rsidRPr="009E64A6" w:rsidRDefault="000E7AF9" w:rsidP="000E7AF9">
      <w:pPr>
        <w:shd w:val="clear" w:color="auto" w:fill="FFFFFF"/>
        <w:ind w:firstLine="0"/>
        <w:jc w:val="right"/>
        <w:rPr>
          <w:rFonts w:ascii="PT Astra Serif" w:hAnsi="PT Astra Serif"/>
          <w:color w:val="000000"/>
          <w:szCs w:val="26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134"/>
        <w:gridCol w:w="1701"/>
        <w:gridCol w:w="1418"/>
        <w:gridCol w:w="1275"/>
        <w:gridCol w:w="1417"/>
      </w:tblGrid>
      <w:tr w:rsidR="009434F9" w:rsidRPr="009E64A6" w:rsidTr="009A2656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F9" w:rsidRPr="009E64A6" w:rsidRDefault="009434F9" w:rsidP="00B00274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(i-2) </w:t>
            </w:r>
            <w:r w:rsidRPr="009E64A6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434F9" w:rsidRPr="009E64A6" w:rsidRDefault="009434F9" w:rsidP="00B00274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(i+1) </w:t>
            </w:r>
            <w:r w:rsidRPr="009E64A6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434F9" w:rsidRPr="009E64A6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F9" w:rsidRPr="009E64A6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(</w:t>
            </w:r>
            <w:proofErr w:type="spellStart"/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i</w:t>
            </w:r>
            <w:proofErr w:type="spellEnd"/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+</w:t>
            </w:r>
            <w:r w:rsidRPr="009E64A6">
              <w:rPr>
                <w:rFonts w:ascii="PT Astra Serif" w:hAnsi="PT Astra Serif"/>
                <w:bCs/>
                <w:sz w:val="20"/>
                <w:u w:val="single"/>
              </w:rPr>
              <w:t>2</w:t>
            </w:r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) </w:t>
            </w:r>
            <w:r w:rsidRPr="009E64A6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434F9" w:rsidRPr="009E64A6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  <w:u w:val="single"/>
                <w:lang w:val="en-US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  <w:u w:val="single"/>
              </w:rPr>
              <w:t>(</w:t>
            </w:r>
            <w:proofErr w:type="spellStart"/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i</w:t>
            </w:r>
            <w:proofErr w:type="spellEnd"/>
            <w:r w:rsidRPr="009E64A6">
              <w:rPr>
                <w:rFonts w:ascii="PT Astra Serif" w:hAnsi="PT Astra Serif"/>
                <w:bCs/>
                <w:sz w:val="20"/>
                <w:u w:val="single"/>
              </w:rPr>
              <w:t>+</w:t>
            </w:r>
            <w:r w:rsidRPr="009E64A6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n</w:t>
            </w:r>
            <w:r w:rsidRPr="009E64A6">
              <w:rPr>
                <w:rFonts w:ascii="PT Astra Serif" w:hAnsi="PT Astra Serif"/>
                <w:bCs/>
                <w:sz w:val="20"/>
                <w:u w:val="single"/>
              </w:rPr>
              <w:t xml:space="preserve">) </w:t>
            </w:r>
            <w:r w:rsidRPr="009E64A6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434F9" w:rsidRPr="009E64A6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  <w:u w:val="single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</w:tr>
      <w:tr w:rsidR="009434F9" w:rsidRPr="009E64A6" w:rsidTr="009A2656">
        <w:trPr>
          <w:trHeight w:val="196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Фактические показатели деятельности регионального оператора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Показатели для расчета цены предмета торгов, по результатам которых формируются цены на услуги по транспортированию ТКО для регионального оператора по обращению с ТКО, предлагаемые региональным оператором</w:t>
            </w:r>
          </w:p>
        </w:tc>
      </w:tr>
      <w:tr w:rsidR="009434F9" w:rsidRPr="009E64A6" w:rsidTr="009A2656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транспортирование ТКО собственными силами регионального оператора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транспортирование ТКО силами сторонних организаций</w:t>
            </w:r>
          </w:p>
        </w:tc>
      </w:tr>
      <w:tr w:rsidR="009434F9" w:rsidRPr="009E64A6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F9" w:rsidRPr="009E64A6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9E64A6">
              <w:rPr>
                <w:rFonts w:ascii="PT Astra Serif" w:hAnsi="PT Astra Serif"/>
                <w:sz w:val="20"/>
                <w:lang w:val="en-US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9" w:rsidRPr="009E64A6" w:rsidRDefault="009434F9" w:rsidP="009A2656">
            <w:pPr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9E64A6">
              <w:rPr>
                <w:rFonts w:ascii="PT Astra Serif" w:hAnsi="PT Astra Serif"/>
                <w:bCs/>
                <w:color w:val="000000"/>
                <w:sz w:val="20"/>
              </w:rPr>
              <w:t>Расходы на транспортирование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9E64A6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9E64A6">
              <w:rPr>
                <w:rFonts w:ascii="PT Astra Serif" w:hAnsi="PT Astra Serif"/>
                <w:sz w:val="20"/>
                <w:lang w:val="en-US"/>
              </w:rPr>
              <w:t>II.I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9E64A6">
              <w:rPr>
                <w:rFonts w:ascii="PT Astra Serif" w:hAnsi="PT Astra Serif"/>
                <w:bCs/>
                <w:color w:val="000000"/>
                <w:sz w:val="20"/>
              </w:rPr>
              <w:t>Масса транспортируемых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proofErr w:type="spellStart"/>
            <w:r w:rsidRPr="009E64A6">
              <w:rPr>
                <w:rFonts w:ascii="PT Astra Serif" w:hAnsi="PT Astra Serif"/>
                <w:bCs/>
                <w:sz w:val="20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9E64A6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9E64A6">
              <w:rPr>
                <w:rFonts w:ascii="PT Astra Serif" w:hAnsi="PT Astra Serif"/>
                <w:sz w:val="20"/>
                <w:lang w:val="en-US"/>
              </w:rPr>
              <w:t>II.II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9A2656">
            <w:pPr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9E64A6">
              <w:rPr>
                <w:rFonts w:ascii="PT Astra Serif" w:hAnsi="PT Astra Serif"/>
                <w:bCs/>
                <w:color w:val="000000"/>
                <w:sz w:val="20"/>
              </w:rPr>
              <w:t>Объем транспортируемых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proofErr w:type="spellStart"/>
            <w:r w:rsidRPr="009E64A6">
              <w:rPr>
                <w:rFonts w:ascii="PT Astra Serif" w:hAnsi="PT Astra Serif"/>
                <w:bCs/>
                <w:sz w:val="20"/>
              </w:rPr>
              <w:t>куб.м</w:t>
            </w:r>
            <w:proofErr w:type="spellEnd"/>
            <w:r w:rsidRPr="009E64A6">
              <w:rPr>
                <w:rFonts w:ascii="PT Astra Serif" w:hAnsi="PT Astra Serif"/>
                <w:bCs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9E64A6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9E64A6">
              <w:rPr>
                <w:rFonts w:ascii="PT Astra Serif" w:hAnsi="PT Astra Serif"/>
                <w:sz w:val="20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9A2656">
            <w:pPr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9E64A6">
              <w:rPr>
                <w:rFonts w:ascii="PT Astra Serif" w:hAnsi="PT Astra Serif"/>
                <w:bCs/>
                <w:color w:val="000000"/>
                <w:sz w:val="20"/>
              </w:rPr>
              <w:t>Общая протяженность маршрутов транспортирования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9E64A6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9E64A6">
              <w:rPr>
                <w:rFonts w:ascii="PT Astra Serif" w:hAnsi="PT Astra Serif"/>
                <w:sz w:val="20"/>
                <w:lang w:val="en-US"/>
              </w:rPr>
              <w:t>IV.I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Цена транспортирования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руб./</w:t>
            </w:r>
            <w:proofErr w:type="spellStart"/>
            <w:r w:rsidRPr="009E64A6">
              <w:rPr>
                <w:rFonts w:ascii="PT Astra Serif" w:hAnsi="PT Astra Serif"/>
                <w:bCs/>
                <w:sz w:val="20"/>
              </w:rPr>
              <w:t>тн</w:t>
            </w:r>
            <w:proofErr w:type="spellEnd"/>
            <w:r w:rsidRPr="009E64A6">
              <w:rPr>
                <w:rFonts w:ascii="PT Astra Serif" w:hAnsi="PT Astra Serif"/>
                <w:bCs/>
                <w:sz w:val="20"/>
              </w:rPr>
              <w:t>-км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9E64A6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9E64A6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152741" w:rsidTr="009A265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9E64A6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9E64A6">
              <w:rPr>
                <w:rFonts w:ascii="PT Astra Serif" w:hAnsi="PT Astra Serif"/>
                <w:sz w:val="20"/>
                <w:lang w:val="en-US"/>
              </w:rPr>
              <w:t>IV.II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9E64A6" w:rsidRDefault="009434F9" w:rsidP="000E7AF9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9E64A6">
              <w:rPr>
                <w:rFonts w:ascii="PT Astra Serif" w:hAnsi="PT Astra Serif"/>
                <w:bCs/>
                <w:sz w:val="20"/>
              </w:rPr>
              <w:t>руб./</w:t>
            </w:r>
            <w:proofErr w:type="spellStart"/>
            <w:r w:rsidRPr="009E64A6">
              <w:rPr>
                <w:rFonts w:ascii="PT Astra Serif" w:hAnsi="PT Astra Serif"/>
                <w:bCs/>
                <w:sz w:val="20"/>
              </w:rPr>
              <w:t>куб.м</w:t>
            </w:r>
            <w:proofErr w:type="spellEnd"/>
            <w:r w:rsidRPr="009E64A6">
              <w:rPr>
                <w:rFonts w:ascii="PT Astra Serif" w:hAnsi="PT Astra Serif"/>
                <w:bCs/>
                <w:sz w:val="20"/>
              </w:rPr>
              <w:t>.-км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0E7AF9" w:rsidRPr="00152741" w:rsidRDefault="000E7AF9" w:rsidP="000E7AF9">
      <w:pPr>
        <w:shd w:val="clear" w:color="auto" w:fill="FFFFFF"/>
        <w:ind w:firstLine="0"/>
        <w:jc w:val="both"/>
        <w:rPr>
          <w:rFonts w:ascii="PT Astra Serif" w:hAnsi="PT Astra Serif"/>
          <w:color w:val="000000"/>
          <w:szCs w:val="26"/>
        </w:rPr>
      </w:pPr>
    </w:p>
    <w:sectPr w:rsidR="000E7AF9" w:rsidRPr="00152741" w:rsidSect="000E7AF9">
      <w:pgSz w:w="11907" w:h="16840" w:code="9"/>
      <w:pgMar w:top="1134" w:right="850" w:bottom="1134" w:left="1418" w:header="720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C" w:rsidRDefault="00DB5A6C" w:rsidP="004E1599">
      <w:pPr>
        <w:pStyle w:val="ac"/>
      </w:pPr>
      <w:r>
        <w:separator/>
      </w:r>
    </w:p>
  </w:endnote>
  <w:endnote w:type="continuationSeparator" w:id="0">
    <w:p w:rsidR="00DB5A6C" w:rsidRDefault="00DB5A6C" w:rsidP="004E1599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6C" w:rsidRDefault="00DB5A6C">
    <w:pPr>
      <w:pStyle w:val="a6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C" w:rsidRDefault="00DB5A6C" w:rsidP="004E1599">
      <w:pPr>
        <w:pStyle w:val="ac"/>
      </w:pPr>
      <w:r>
        <w:separator/>
      </w:r>
    </w:p>
  </w:footnote>
  <w:footnote w:type="continuationSeparator" w:id="0">
    <w:p w:rsidR="00DB5A6C" w:rsidRDefault="00DB5A6C" w:rsidP="004E1599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6C" w:rsidRDefault="00DB5A6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B5A6C" w:rsidRDefault="00DB5A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6C" w:rsidRPr="00551D99" w:rsidRDefault="00DB5A6C" w:rsidP="009173B4">
    <w:pPr>
      <w:pStyle w:val="a4"/>
      <w:tabs>
        <w:tab w:val="clear" w:pos="4153"/>
        <w:tab w:val="clear" w:pos="8306"/>
        <w:tab w:val="center" w:pos="-4536"/>
      </w:tabs>
      <w:spacing w:before="0" w:after="0"/>
      <w:ind w:firstLine="0"/>
      <w:rPr>
        <w:b w:val="0"/>
        <w:caps w:val="0"/>
        <w:sz w:val="26"/>
        <w:lang w:val="en-US"/>
      </w:rPr>
    </w:pPr>
    <w:r>
      <w:object w:dxaOrig="1512" w:dyaOrig="1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68.85pt" o:ole="" fillcolor="window">
          <v:imagedata r:id="rId1" o:title=""/>
        </v:shape>
        <o:OLEObject Type="Embed" ProgID="Word.Picture.8" ShapeID="_x0000_i1025" DrawAspect="Content" ObjectID="_1748172974" r:id="rId2"/>
      </w:object>
    </w:r>
  </w:p>
  <w:p w:rsidR="00DB5A6C" w:rsidRDefault="00DB5A6C" w:rsidP="009173B4">
    <w:pPr>
      <w:pStyle w:val="a4"/>
      <w:spacing w:before="0" w:after="0"/>
      <w:ind w:firstLine="0"/>
      <w:rPr>
        <w:b w:val="0"/>
        <w:sz w:val="12"/>
      </w:rPr>
    </w:pPr>
  </w:p>
  <w:p w:rsidR="00DB5A6C" w:rsidRPr="00BB55C8" w:rsidRDefault="00DB5A6C" w:rsidP="009173B4">
    <w:pPr>
      <w:ind w:firstLine="0"/>
      <w:jc w:val="center"/>
      <w:rPr>
        <w:rFonts w:ascii="PT Astra Serif" w:hAnsi="PT Astra Serif"/>
        <w:b/>
        <w:sz w:val="30"/>
        <w:szCs w:val="30"/>
      </w:rPr>
    </w:pPr>
    <w:r w:rsidRPr="00BB55C8">
      <w:rPr>
        <w:rFonts w:ascii="PT Astra Serif" w:hAnsi="PT Astra Serif"/>
        <w:b/>
        <w:sz w:val="30"/>
        <w:szCs w:val="30"/>
      </w:rPr>
      <w:t>ДЕПАРТАМЕНТ ТАРИФНОГО РЕГУЛИРОВАНИЯ</w:t>
    </w:r>
  </w:p>
  <w:p w:rsidR="00DB5A6C" w:rsidRPr="00BB55C8" w:rsidRDefault="00DB5A6C" w:rsidP="009173B4">
    <w:pPr>
      <w:ind w:firstLine="0"/>
      <w:jc w:val="center"/>
      <w:rPr>
        <w:rFonts w:ascii="PT Astra Serif" w:hAnsi="PT Astra Serif"/>
        <w:b/>
        <w:sz w:val="30"/>
        <w:szCs w:val="30"/>
      </w:rPr>
    </w:pPr>
    <w:r w:rsidRPr="00BB55C8">
      <w:rPr>
        <w:rFonts w:ascii="PT Astra Serif" w:hAnsi="PT Astra Serif"/>
        <w:b/>
        <w:sz w:val="30"/>
        <w:szCs w:val="30"/>
      </w:rPr>
      <w:t>ТОМСКОЙ ОБЛАСТИ</w:t>
    </w:r>
  </w:p>
  <w:p w:rsidR="00DB5A6C" w:rsidRPr="00BB55C8" w:rsidRDefault="00DB5A6C" w:rsidP="009173B4">
    <w:pPr>
      <w:pStyle w:val="a4"/>
      <w:tabs>
        <w:tab w:val="clear" w:pos="4153"/>
        <w:tab w:val="clear" w:pos="8306"/>
        <w:tab w:val="center" w:pos="-5103"/>
      </w:tabs>
      <w:spacing w:before="0" w:after="0"/>
      <w:ind w:firstLine="0"/>
      <w:rPr>
        <w:rFonts w:ascii="PT Astra Serif" w:hAnsi="PT Astra Serif"/>
        <w:b w:val="0"/>
        <w:sz w:val="24"/>
      </w:rPr>
    </w:pPr>
  </w:p>
  <w:p w:rsidR="00DB5A6C" w:rsidRPr="00BB55C8" w:rsidRDefault="00DB5A6C" w:rsidP="009173B4">
    <w:pPr>
      <w:pStyle w:val="a4"/>
      <w:tabs>
        <w:tab w:val="clear" w:pos="4153"/>
        <w:tab w:val="clear" w:pos="8306"/>
      </w:tabs>
      <w:spacing w:before="0" w:after="480"/>
      <w:ind w:firstLine="0"/>
      <w:rPr>
        <w:rFonts w:ascii="PT Astra Serif" w:hAnsi="PT Astra Serif"/>
        <w:szCs w:val="28"/>
      </w:rPr>
    </w:pPr>
    <w:r w:rsidRPr="00BB55C8">
      <w:rPr>
        <w:rFonts w:ascii="PT Astra Serif" w:hAnsi="PT Astra Serif"/>
        <w:szCs w:val="28"/>
      </w:rPr>
      <w:t>ПРИКАЗ</w:t>
    </w:r>
    <w:r>
      <w:rPr>
        <w:rFonts w:ascii="PT Astra Serif" w:hAnsi="PT Astra Serif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6C" w:rsidRPr="009173B4" w:rsidRDefault="00DB5A6C" w:rsidP="009173B4">
    <w:pPr>
      <w:pStyle w:val="a4"/>
      <w:tabs>
        <w:tab w:val="clear" w:pos="4153"/>
        <w:tab w:val="clear" w:pos="8306"/>
      </w:tabs>
      <w:spacing w:before="0" w:after="0"/>
      <w:ind w:firstLine="0"/>
      <w:rPr>
        <w:b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708"/>
    <w:multiLevelType w:val="hybridMultilevel"/>
    <w:tmpl w:val="4A3AF2BA"/>
    <w:lvl w:ilvl="0" w:tplc="5114F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81B58"/>
    <w:multiLevelType w:val="hybridMultilevel"/>
    <w:tmpl w:val="72E42E30"/>
    <w:lvl w:ilvl="0" w:tplc="4B5A4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A0DED"/>
    <w:multiLevelType w:val="hybridMultilevel"/>
    <w:tmpl w:val="441EAA68"/>
    <w:lvl w:ilvl="0" w:tplc="532C5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14F81"/>
    <w:multiLevelType w:val="hybridMultilevel"/>
    <w:tmpl w:val="8580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D0D0F"/>
    <w:multiLevelType w:val="hybridMultilevel"/>
    <w:tmpl w:val="BFF0158A"/>
    <w:lvl w:ilvl="0" w:tplc="603A2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E92233"/>
    <w:multiLevelType w:val="hybridMultilevel"/>
    <w:tmpl w:val="6102E4BC"/>
    <w:lvl w:ilvl="0" w:tplc="807C988A">
      <w:start w:val="31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41784A06"/>
    <w:multiLevelType w:val="hybridMultilevel"/>
    <w:tmpl w:val="629A21F2"/>
    <w:lvl w:ilvl="0" w:tplc="E9307A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7D4CCA"/>
    <w:multiLevelType w:val="hybridMultilevel"/>
    <w:tmpl w:val="2730B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B5631"/>
    <w:multiLevelType w:val="hybridMultilevel"/>
    <w:tmpl w:val="9B42C9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F755826"/>
    <w:multiLevelType w:val="hybridMultilevel"/>
    <w:tmpl w:val="EE90BB96"/>
    <w:lvl w:ilvl="0" w:tplc="C478E4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08C3026"/>
    <w:multiLevelType w:val="hybridMultilevel"/>
    <w:tmpl w:val="5D8E9388"/>
    <w:lvl w:ilvl="0" w:tplc="960A7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2773917"/>
    <w:multiLevelType w:val="hybridMultilevel"/>
    <w:tmpl w:val="AE128E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60980"/>
    <w:multiLevelType w:val="hybridMultilevel"/>
    <w:tmpl w:val="C5469816"/>
    <w:lvl w:ilvl="0" w:tplc="1274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A32E69"/>
    <w:multiLevelType w:val="hybridMultilevel"/>
    <w:tmpl w:val="FFA4D25E"/>
    <w:lvl w:ilvl="0" w:tplc="5BA4FE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F28300A"/>
    <w:multiLevelType w:val="hybridMultilevel"/>
    <w:tmpl w:val="1532936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617E1"/>
    <w:multiLevelType w:val="hybridMultilevel"/>
    <w:tmpl w:val="3F7E32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C44E7"/>
    <w:multiLevelType w:val="hybridMultilevel"/>
    <w:tmpl w:val="83D61E20"/>
    <w:lvl w:ilvl="0" w:tplc="FA5AEEC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D7CD3"/>
    <w:multiLevelType w:val="hybridMultilevel"/>
    <w:tmpl w:val="511E470E"/>
    <w:lvl w:ilvl="0" w:tplc="2ADA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2"/>
  </w:num>
  <w:num w:numId="14">
    <w:abstractNumId w:val="17"/>
  </w:num>
  <w:num w:numId="15">
    <w:abstractNumId w:val="6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D"/>
    <w:rsid w:val="000022C6"/>
    <w:rsid w:val="000033E8"/>
    <w:rsid w:val="00005C31"/>
    <w:rsid w:val="00023C3F"/>
    <w:rsid w:val="000245FF"/>
    <w:rsid w:val="0002463B"/>
    <w:rsid w:val="00025E83"/>
    <w:rsid w:val="00033064"/>
    <w:rsid w:val="00037A98"/>
    <w:rsid w:val="00046641"/>
    <w:rsid w:val="00046655"/>
    <w:rsid w:val="00046798"/>
    <w:rsid w:val="00047349"/>
    <w:rsid w:val="00050035"/>
    <w:rsid w:val="0005082C"/>
    <w:rsid w:val="000523BC"/>
    <w:rsid w:val="00062E3F"/>
    <w:rsid w:val="0006311E"/>
    <w:rsid w:val="00064DC3"/>
    <w:rsid w:val="00067E9E"/>
    <w:rsid w:val="0007060A"/>
    <w:rsid w:val="00073851"/>
    <w:rsid w:val="00075F1F"/>
    <w:rsid w:val="00076C74"/>
    <w:rsid w:val="000822C8"/>
    <w:rsid w:val="00082B0D"/>
    <w:rsid w:val="00083B89"/>
    <w:rsid w:val="000843F7"/>
    <w:rsid w:val="00093011"/>
    <w:rsid w:val="000975F4"/>
    <w:rsid w:val="00097856"/>
    <w:rsid w:val="000A0C4C"/>
    <w:rsid w:val="000A18CD"/>
    <w:rsid w:val="000A1FCC"/>
    <w:rsid w:val="000A21F6"/>
    <w:rsid w:val="000A3680"/>
    <w:rsid w:val="000B015B"/>
    <w:rsid w:val="000B645B"/>
    <w:rsid w:val="000B6DC7"/>
    <w:rsid w:val="000C37D1"/>
    <w:rsid w:val="000C74A6"/>
    <w:rsid w:val="000D3A32"/>
    <w:rsid w:val="000E1675"/>
    <w:rsid w:val="000E1BE0"/>
    <w:rsid w:val="000E4D2A"/>
    <w:rsid w:val="000E7AF9"/>
    <w:rsid w:val="00100BDA"/>
    <w:rsid w:val="0011074E"/>
    <w:rsid w:val="00111A67"/>
    <w:rsid w:val="001126EB"/>
    <w:rsid w:val="00115184"/>
    <w:rsid w:val="001173AD"/>
    <w:rsid w:val="00120EE8"/>
    <w:rsid w:val="0012109F"/>
    <w:rsid w:val="00124300"/>
    <w:rsid w:val="00127B9E"/>
    <w:rsid w:val="00132FEA"/>
    <w:rsid w:val="0014001D"/>
    <w:rsid w:val="0014072C"/>
    <w:rsid w:val="00146764"/>
    <w:rsid w:val="00147646"/>
    <w:rsid w:val="00152741"/>
    <w:rsid w:val="0015360F"/>
    <w:rsid w:val="0015687D"/>
    <w:rsid w:val="001627E7"/>
    <w:rsid w:val="0016461E"/>
    <w:rsid w:val="001717E7"/>
    <w:rsid w:val="001771E8"/>
    <w:rsid w:val="00180B55"/>
    <w:rsid w:val="00182073"/>
    <w:rsid w:val="001833CF"/>
    <w:rsid w:val="00185E4E"/>
    <w:rsid w:val="00187667"/>
    <w:rsid w:val="001909AF"/>
    <w:rsid w:val="00194C5C"/>
    <w:rsid w:val="001A3748"/>
    <w:rsid w:val="001A3BDE"/>
    <w:rsid w:val="001B7089"/>
    <w:rsid w:val="001C0BF2"/>
    <w:rsid w:val="001C18CB"/>
    <w:rsid w:val="001C5BCA"/>
    <w:rsid w:val="001C6B60"/>
    <w:rsid w:val="001D4BDC"/>
    <w:rsid w:val="001E227A"/>
    <w:rsid w:val="001E236F"/>
    <w:rsid w:val="001E2D3E"/>
    <w:rsid w:val="001E34A9"/>
    <w:rsid w:val="001E3C2A"/>
    <w:rsid w:val="001F07C3"/>
    <w:rsid w:val="001F12F3"/>
    <w:rsid w:val="001F150F"/>
    <w:rsid w:val="001F2D50"/>
    <w:rsid w:val="001F51AE"/>
    <w:rsid w:val="002022DD"/>
    <w:rsid w:val="0020583B"/>
    <w:rsid w:val="002100AE"/>
    <w:rsid w:val="00212D72"/>
    <w:rsid w:val="00223EF3"/>
    <w:rsid w:val="00231885"/>
    <w:rsid w:val="002348FB"/>
    <w:rsid w:val="002350AF"/>
    <w:rsid w:val="00235E55"/>
    <w:rsid w:val="00236059"/>
    <w:rsid w:val="00236B6D"/>
    <w:rsid w:val="00236EBB"/>
    <w:rsid w:val="00237008"/>
    <w:rsid w:val="002454E5"/>
    <w:rsid w:val="002464E4"/>
    <w:rsid w:val="00255174"/>
    <w:rsid w:val="00261B7F"/>
    <w:rsid w:val="00265A74"/>
    <w:rsid w:val="002725F4"/>
    <w:rsid w:val="00274C03"/>
    <w:rsid w:val="00280158"/>
    <w:rsid w:val="0028366A"/>
    <w:rsid w:val="002836A8"/>
    <w:rsid w:val="00290841"/>
    <w:rsid w:val="00292D06"/>
    <w:rsid w:val="002967C9"/>
    <w:rsid w:val="00297446"/>
    <w:rsid w:val="00297E9E"/>
    <w:rsid w:val="002A04AA"/>
    <w:rsid w:val="002A3E5D"/>
    <w:rsid w:val="002A6701"/>
    <w:rsid w:val="002B1BE2"/>
    <w:rsid w:val="002B7278"/>
    <w:rsid w:val="002B7433"/>
    <w:rsid w:val="002C249B"/>
    <w:rsid w:val="002D0EE4"/>
    <w:rsid w:val="002D1EB9"/>
    <w:rsid w:val="002D7440"/>
    <w:rsid w:val="002D7B13"/>
    <w:rsid w:val="002E05D4"/>
    <w:rsid w:val="002E7A58"/>
    <w:rsid w:val="002E7D4C"/>
    <w:rsid w:val="002F2B62"/>
    <w:rsid w:val="002F6440"/>
    <w:rsid w:val="003028B9"/>
    <w:rsid w:val="003050CB"/>
    <w:rsid w:val="00305A67"/>
    <w:rsid w:val="00311915"/>
    <w:rsid w:val="00315948"/>
    <w:rsid w:val="00317D4A"/>
    <w:rsid w:val="00321388"/>
    <w:rsid w:val="00325244"/>
    <w:rsid w:val="00327EE0"/>
    <w:rsid w:val="00331576"/>
    <w:rsid w:val="00331729"/>
    <w:rsid w:val="0033429D"/>
    <w:rsid w:val="00337ACF"/>
    <w:rsid w:val="0034179F"/>
    <w:rsid w:val="00351E70"/>
    <w:rsid w:val="0035205F"/>
    <w:rsid w:val="00353E05"/>
    <w:rsid w:val="00355CAA"/>
    <w:rsid w:val="00361A54"/>
    <w:rsid w:val="0036261E"/>
    <w:rsid w:val="0037012D"/>
    <w:rsid w:val="00371F4C"/>
    <w:rsid w:val="00373CBB"/>
    <w:rsid w:val="00377968"/>
    <w:rsid w:val="003847EB"/>
    <w:rsid w:val="0038630C"/>
    <w:rsid w:val="0039195C"/>
    <w:rsid w:val="0039344E"/>
    <w:rsid w:val="00394312"/>
    <w:rsid w:val="00395C18"/>
    <w:rsid w:val="003B4C18"/>
    <w:rsid w:val="003B6F30"/>
    <w:rsid w:val="003C30F9"/>
    <w:rsid w:val="003C3C7D"/>
    <w:rsid w:val="003C5F74"/>
    <w:rsid w:val="003C7E03"/>
    <w:rsid w:val="003D0491"/>
    <w:rsid w:val="003D2558"/>
    <w:rsid w:val="003D411A"/>
    <w:rsid w:val="003E0D69"/>
    <w:rsid w:val="00400719"/>
    <w:rsid w:val="0040298B"/>
    <w:rsid w:val="0040440A"/>
    <w:rsid w:val="00404623"/>
    <w:rsid w:val="00431C1D"/>
    <w:rsid w:val="00433842"/>
    <w:rsid w:val="00441266"/>
    <w:rsid w:val="00441B3C"/>
    <w:rsid w:val="004427E7"/>
    <w:rsid w:val="004477AF"/>
    <w:rsid w:val="00451D8C"/>
    <w:rsid w:val="004522CF"/>
    <w:rsid w:val="004535FC"/>
    <w:rsid w:val="00454C21"/>
    <w:rsid w:val="004556FB"/>
    <w:rsid w:val="004654F7"/>
    <w:rsid w:val="004656CA"/>
    <w:rsid w:val="0047298A"/>
    <w:rsid w:val="004737E8"/>
    <w:rsid w:val="0047764D"/>
    <w:rsid w:val="004942A9"/>
    <w:rsid w:val="004960FC"/>
    <w:rsid w:val="004962E9"/>
    <w:rsid w:val="004A1CBA"/>
    <w:rsid w:val="004A3D15"/>
    <w:rsid w:val="004A53E4"/>
    <w:rsid w:val="004B1E40"/>
    <w:rsid w:val="004B3348"/>
    <w:rsid w:val="004C6442"/>
    <w:rsid w:val="004C6C8E"/>
    <w:rsid w:val="004D67BF"/>
    <w:rsid w:val="004D6F7C"/>
    <w:rsid w:val="004D72B2"/>
    <w:rsid w:val="004E1599"/>
    <w:rsid w:val="004F0BED"/>
    <w:rsid w:val="004F79C8"/>
    <w:rsid w:val="0050741F"/>
    <w:rsid w:val="005123BD"/>
    <w:rsid w:val="005165F2"/>
    <w:rsid w:val="00523434"/>
    <w:rsid w:val="0052713A"/>
    <w:rsid w:val="0053018A"/>
    <w:rsid w:val="005322D9"/>
    <w:rsid w:val="00536FD5"/>
    <w:rsid w:val="00542915"/>
    <w:rsid w:val="005460F1"/>
    <w:rsid w:val="005512B3"/>
    <w:rsid w:val="00551D99"/>
    <w:rsid w:val="00561433"/>
    <w:rsid w:val="00570016"/>
    <w:rsid w:val="005819A4"/>
    <w:rsid w:val="00583D73"/>
    <w:rsid w:val="00595083"/>
    <w:rsid w:val="005A31B0"/>
    <w:rsid w:val="005A515B"/>
    <w:rsid w:val="005A5C1D"/>
    <w:rsid w:val="005A6966"/>
    <w:rsid w:val="005B52E7"/>
    <w:rsid w:val="005B5524"/>
    <w:rsid w:val="005B624E"/>
    <w:rsid w:val="005B7617"/>
    <w:rsid w:val="005C11DE"/>
    <w:rsid w:val="005C126F"/>
    <w:rsid w:val="005C67A9"/>
    <w:rsid w:val="005D09D8"/>
    <w:rsid w:val="005D2EE2"/>
    <w:rsid w:val="005D54F0"/>
    <w:rsid w:val="005D6C1F"/>
    <w:rsid w:val="005E09F7"/>
    <w:rsid w:val="005F31C4"/>
    <w:rsid w:val="005F3290"/>
    <w:rsid w:val="005F593D"/>
    <w:rsid w:val="005F7CBE"/>
    <w:rsid w:val="005F7FF1"/>
    <w:rsid w:val="0060072C"/>
    <w:rsid w:val="00603DB3"/>
    <w:rsid w:val="006074EE"/>
    <w:rsid w:val="006130E3"/>
    <w:rsid w:val="006160EA"/>
    <w:rsid w:val="00632E7F"/>
    <w:rsid w:val="0063432E"/>
    <w:rsid w:val="00635188"/>
    <w:rsid w:val="00636B60"/>
    <w:rsid w:val="00650C5E"/>
    <w:rsid w:val="006541AE"/>
    <w:rsid w:val="00663C17"/>
    <w:rsid w:val="006664E6"/>
    <w:rsid w:val="00671A37"/>
    <w:rsid w:val="0067231B"/>
    <w:rsid w:val="006748F5"/>
    <w:rsid w:val="00681EE8"/>
    <w:rsid w:val="00683AD1"/>
    <w:rsid w:val="00685E42"/>
    <w:rsid w:val="00686255"/>
    <w:rsid w:val="006870A1"/>
    <w:rsid w:val="00687C53"/>
    <w:rsid w:val="006921EE"/>
    <w:rsid w:val="00694BAA"/>
    <w:rsid w:val="00696EDA"/>
    <w:rsid w:val="006A1437"/>
    <w:rsid w:val="006A4855"/>
    <w:rsid w:val="006B2343"/>
    <w:rsid w:val="006C460B"/>
    <w:rsid w:val="006C7095"/>
    <w:rsid w:val="006C7360"/>
    <w:rsid w:val="006D0149"/>
    <w:rsid w:val="006D167C"/>
    <w:rsid w:val="006D63F9"/>
    <w:rsid w:val="006D64AC"/>
    <w:rsid w:val="006E03D0"/>
    <w:rsid w:val="006E3EA1"/>
    <w:rsid w:val="006E5179"/>
    <w:rsid w:val="006F09FB"/>
    <w:rsid w:val="006F243B"/>
    <w:rsid w:val="006F3F6D"/>
    <w:rsid w:val="006F60AC"/>
    <w:rsid w:val="006F6171"/>
    <w:rsid w:val="006F6FBE"/>
    <w:rsid w:val="007000DD"/>
    <w:rsid w:val="007013A3"/>
    <w:rsid w:val="00704820"/>
    <w:rsid w:val="007061BF"/>
    <w:rsid w:val="00717232"/>
    <w:rsid w:val="007227E9"/>
    <w:rsid w:val="00722F1D"/>
    <w:rsid w:val="007340CB"/>
    <w:rsid w:val="00735092"/>
    <w:rsid w:val="007413A7"/>
    <w:rsid w:val="0074497F"/>
    <w:rsid w:val="007462E9"/>
    <w:rsid w:val="0074783E"/>
    <w:rsid w:val="00755762"/>
    <w:rsid w:val="00763C6D"/>
    <w:rsid w:val="00763F43"/>
    <w:rsid w:val="00764D9D"/>
    <w:rsid w:val="0076558A"/>
    <w:rsid w:val="007729A8"/>
    <w:rsid w:val="007732D0"/>
    <w:rsid w:val="007733F0"/>
    <w:rsid w:val="00780BFC"/>
    <w:rsid w:val="00783E0D"/>
    <w:rsid w:val="00787BC6"/>
    <w:rsid w:val="007929C7"/>
    <w:rsid w:val="0079666B"/>
    <w:rsid w:val="007A17DE"/>
    <w:rsid w:val="007A715D"/>
    <w:rsid w:val="007C027D"/>
    <w:rsid w:val="007C29FC"/>
    <w:rsid w:val="007C543B"/>
    <w:rsid w:val="007C7DCB"/>
    <w:rsid w:val="007D1219"/>
    <w:rsid w:val="007E17E4"/>
    <w:rsid w:val="007E2980"/>
    <w:rsid w:val="007E29F6"/>
    <w:rsid w:val="007E7539"/>
    <w:rsid w:val="007F0D7D"/>
    <w:rsid w:val="007F31F1"/>
    <w:rsid w:val="007F3792"/>
    <w:rsid w:val="00800AB9"/>
    <w:rsid w:val="0082126D"/>
    <w:rsid w:val="0083246F"/>
    <w:rsid w:val="008357A3"/>
    <w:rsid w:val="00842B13"/>
    <w:rsid w:val="00843CAB"/>
    <w:rsid w:val="00851AE4"/>
    <w:rsid w:val="00853302"/>
    <w:rsid w:val="008713EA"/>
    <w:rsid w:val="00876512"/>
    <w:rsid w:val="00881465"/>
    <w:rsid w:val="008856F5"/>
    <w:rsid w:val="0089053A"/>
    <w:rsid w:val="008A1E3E"/>
    <w:rsid w:val="008A23F5"/>
    <w:rsid w:val="008A37EC"/>
    <w:rsid w:val="008A46D1"/>
    <w:rsid w:val="008B380A"/>
    <w:rsid w:val="008C1851"/>
    <w:rsid w:val="008C2F04"/>
    <w:rsid w:val="008C4DA9"/>
    <w:rsid w:val="008C5E5E"/>
    <w:rsid w:val="008D0722"/>
    <w:rsid w:val="008E4D64"/>
    <w:rsid w:val="008E6F1F"/>
    <w:rsid w:val="008F28FC"/>
    <w:rsid w:val="00902B65"/>
    <w:rsid w:val="00912C52"/>
    <w:rsid w:val="009133B1"/>
    <w:rsid w:val="00913E04"/>
    <w:rsid w:val="00914799"/>
    <w:rsid w:val="009173B4"/>
    <w:rsid w:val="009179E8"/>
    <w:rsid w:val="00923B58"/>
    <w:rsid w:val="00940349"/>
    <w:rsid w:val="00940E54"/>
    <w:rsid w:val="00942290"/>
    <w:rsid w:val="00942F43"/>
    <w:rsid w:val="009434F9"/>
    <w:rsid w:val="00947292"/>
    <w:rsid w:val="00951E58"/>
    <w:rsid w:val="00954160"/>
    <w:rsid w:val="00955D68"/>
    <w:rsid w:val="00957260"/>
    <w:rsid w:val="0097221C"/>
    <w:rsid w:val="00972377"/>
    <w:rsid w:val="00974F17"/>
    <w:rsid w:val="00980F9C"/>
    <w:rsid w:val="0099121B"/>
    <w:rsid w:val="009929D3"/>
    <w:rsid w:val="009A0CDB"/>
    <w:rsid w:val="009A2656"/>
    <w:rsid w:val="009A71AB"/>
    <w:rsid w:val="009B2865"/>
    <w:rsid w:val="009C185F"/>
    <w:rsid w:val="009C3F5F"/>
    <w:rsid w:val="009C67E7"/>
    <w:rsid w:val="009D17B0"/>
    <w:rsid w:val="009D2864"/>
    <w:rsid w:val="009D2BCC"/>
    <w:rsid w:val="009D2EB8"/>
    <w:rsid w:val="009E345F"/>
    <w:rsid w:val="009E52D9"/>
    <w:rsid w:val="009E64A6"/>
    <w:rsid w:val="009F70DF"/>
    <w:rsid w:val="009F7FFE"/>
    <w:rsid w:val="00A003BD"/>
    <w:rsid w:val="00A02723"/>
    <w:rsid w:val="00A07493"/>
    <w:rsid w:val="00A129E9"/>
    <w:rsid w:val="00A12FF3"/>
    <w:rsid w:val="00A1378B"/>
    <w:rsid w:val="00A1557C"/>
    <w:rsid w:val="00A2116D"/>
    <w:rsid w:val="00A25472"/>
    <w:rsid w:val="00A31BA2"/>
    <w:rsid w:val="00A3324F"/>
    <w:rsid w:val="00A347AE"/>
    <w:rsid w:val="00A41E40"/>
    <w:rsid w:val="00A46CA2"/>
    <w:rsid w:val="00A5327F"/>
    <w:rsid w:val="00A61D54"/>
    <w:rsid w:val="00A62CA9"/>
    <w:rsid w:val="00A8328A"/>
    <w:rsid w:val="00A86DD3"/>
    <w:rsid w:val="00A87878"/>
    <w:rsid w:val="00A929B6"/>
    <w:rsid w:val="00A940D7"/>
    <w:rsid w:val="00A96F5D"/>
    <w:rsid w:val="00A9723F"/>
    <w:rsid w:val="00AA0F3B"/>
    <w:rsid w:val="00AA15D3"/>
    <w:rsid w:val="00AA1864"/>
    <w:rsid w:val="00AA3045"/>
    <w:rsid w:val="00AA4D65"/>
    <w:rsid w:val="00AA799A"/>
    <w:rsid w:val="00AB0A7E"/>
    <w:rsid w:val="00AB1258"/>
    <w:rsid w:val="00AB3EEE"/>
    <w:rsid w:val="00AB64F7"/>
    <w:rsid w:val="00AC0EB5"/>
    <w:rsid w:val="00AC17CA"/>
    <w:rsid w:val="00AC4D69"/>
    <w:rsid w:val="00AC50BB"/>
    <w:rsid w:val="00AC6747"/>
    <w:rsid w:val="00AC6F2E"/>
    <w:rsid w:val="00AD3143"/>
    <w:rsid w:val="00AD6658"/>
    <w:rsid w:val="00AD70FC"/>
    <w:rsid w:val="00AE393E"/>
    <w:rsid w:val="00AE7317"/>
    <w:rsid w:val="00AF3AF6"/>
    <w:rsid w:val="00AF5D07"/>
    <w:rsid w:val="00B00274"/>
    <w:rsid w:val="00B03FFE"/>
    <w:rsid w:val="00B065F9"/>
    <w:rsid w:val="00B07492"/>
    <w:rsid w:val="00B10421"/>
    <w:rsid w:val="00B13872"/>
    <w:rsid w:val="00B13FF2"/>
    <w:rsid w:val="00B21606"/>
    <w:rsid w:val="00B3454C"/>
    <w:rsid w:val="00B3458A"/>
    <w:rsid w:val="00B3501F"/>
    <w:rsid w:val="00B373D8"/>
    <w:rsid w:val="00B37955"/>
    <w:rsid w:val="00B37F9F"/>
    <w:rsid w:val="00B427A6"/>
    <w:rsid w:val="00B42DCA"/>
    <w:rsid w:val="00B4469D"/>
    <w:rsid w:val="00B46360"/>
    <w:rsid w:val="00B47C52"/>
    <w:rsid w:val="00B508A7"/>
    <w:rsid w:val="00B5324C"/>
    <w:rsid w:val="00B544D2"/>
    <w:rsid w:val="00B54E50"/>
    <w:rsid w:val="00B61082"/>
    <w:rsid w:val="00B61FB6"/>
    <w:rsid w:val="00B6335F"/>
    <w:rsid w:val="00B63470"/>
    <w:rsid w:val="00B647C4"/>
    <w:rsid w:val="00B649C4"/>
    <w:rsid w:val="00B65D6E"/>
    <w:rsid w:val="00B702D8"/>
    <w:rsid w:val="00B710F7"/>
    <w:rsid w:val="00B7287C"/>
    <w:rsid w:val="00B86074"/>
    <w:rsid w:val="00B904E3"/>
    <w:rsid w:val="00BA199E"/>
    <w:rsid w:val="00BA5419"/>
    <w:rsid w:val="00BA5E76"/>
    <w:rsid w:val="00BB22D8"/>
    <w:rsid w:val="00BB55C8"/>
    <w:rsid w:val="00BC4F05"/>
    <w:rsid w:val="00BE5B5F"/>
    <w:rsid w:val="00C0710B"/>
    <w:rsid w:val="00C07715"/>
    <w:rsid w:val="00C10C84"/>
    <w:rsid w:val="00C120B9"/>
    <w:rsid w:val="00C23446"/>
    <w:rsid w:val="00C249D2"/>
    <w:rsid w:val="00C320B3"/>
    <w:rsid w:val="00C40283"/>
    <w:rsid w:val="00C41858"/>
    <w:rsid w:val="00C41B1E"/>
    <w:rsid w:val="00C42389"/>
    <w:rsid w:val="00C4786B"/>
    <w:rsid w:val="00C513B4"/>
    <w:rsid w:val="00C516D6"/>
    <w:rsid w:val="00C51D11"/>
    <w:rsid w:val="00C54CCF"/>
    <w:rsid w:val="00C61C44"/>
    <w:rsid w:val="00C65B13"/>
    <w:rsid w:val="00C65F66"/>
    <w:rsid w:val="00C67D4A"/>
    <w:rsid w:val="00C73573"/>
    <w:rsid w:val="00C8188D"/>
    <w:rsid w:val="00C8666A"/>
    <w:rsid w:val="00C87041"/>
    <w:rsid w:val="00C9085D"/>
    <w:rsid w:val="00C91571"/>
    <w:rsid w:val="00CB1BB7"/>
    <w:rsid w:val="00CC0C0D"/>
    <w:rsid w:val="00CC1016"/>
    <w:rsid w:val="00CD20FA"/>
    <w:rsid w:val="00CD3781"/>
    <w:rsid w:val="00CD3BC4"/>
    <w:rsid w:val="00CE054B"/>
    <w:rsid w:val="00CE128E"/>
    <w:rsid w:val="00CE5B21"/>
    <w:rsid w:val="00CE67CA"/>
    <w:rsid w:val="00CF2E0F"/>
    <w:rsid w:val="00CF7186"/>
    <w:rsid w:val="00D004A5"/>
    <w:rsid w:val="00D015A5"/>
    <w:rsid w:val="00D03AE0"/>
    <w:rsid w:val="00D12ADE"/>
    <w:rsid w:val="00D14655"/>
    <w:rsid w:val="00D202CF"/>
    <w:rsid w:val="00D26387"/>
    <w:rsid w:val="00D26598"/>
    <w:rsid w:val="00D305E1"/>
    <w:rsid w:val="00D33664"/>
    <w:rsid w:val="00D339C6"/>
    <w:rsid w:val="00D408F9"/>
    <w:rsid w:val="00D443BB"/>
    <w:rsid w:val="00D57140"/>
    <w:rsid w:val="00D574F1"/>
    <w:rsid w:val="00D61D25"/>
    <w:rsid w:val="00D61F90"/>
    <w:rsid w:val="00D6352B"/>
    <w:rsid w:val="00D64534"/>
    <w:rsid w:val="00D64594"/>
    <w:rsid w:val="00D711D3"/>
    <w:rsid w:val="00D7219D"/>
    <w:rsid w:val="00D7231B"/>
    <w:rsid w:val="00D778AA"/>
    <w:rsid w:val="00D81809"/>
    <w:rsid w:val="00D81A0E"/>
    <w:rsid w:val="00D854A6"/>
    <w:rsid w:val="00DA40A9"/>
    <w:rsid w:val="00DA5556"/>
    <w:rsid w:val="00DA6D68"/>
    <w:rsid w:val="00DA792A"/>
    <w:rsid w:val="00DB180A"/>
    <w:rsid w:val="00DB3AAB"/>
    <w:rsid w:val="00DB5A6C"/>
    <w:rsid w:val="00DB70D3"/>
    <w:rsid w:val="00DB7BF0"/>
    <w:rsid w:val="00DC3317"/>
    <w:rsid w:val="00DC38FD"/>
    <w:rsid w:val="00DC565D"/>
    <w:rsid w:val="00DC5889"/>
    <w:rsid w:val="00DD235F"/>
    <w:rsid w:val="00DD24BD"/>
    <w:rsid w:val="00DD4BA7"/>
    <w:rsid w:val="00DD5802"/>
    <w:rsid w:val="00DD6253"/>
    <w:rsid w:val="00DE5739"/>
    <w:rsid w:val="00DE59CE"/>
    <w:rsid w:val="00DE75F3"/>
    <w:rsid w:val="00E07E81"/>
    <w:rsid w:val="00E12A3B"/>
    <w:rsid w:val="00E14F41"/>
    <w:rsid w:val="00E21EA8"/>
    <w:rsid w:val="00E234D9"/>
    <w:rsid w:val="00E35541"/>
    <w:rsid w:val="00E41330"/>
    <w:rsid w:val="00E41CFF"/>
    <w:rsid w:val="00E42262"/>
    <w:rsid w:val="00E436B4"/>
    <w:rsid w:val="00E447AF"/>
    <w:rsid w:val="00E50FCF"/>
    <w:rsid w:val="00E5663E"/>
    <w:rsid w:val="00E6364B"/>
    <w:rsid w:val="00E708ED"/>
    <w:rsid w:val="00E71F31"/>
    <w:rsid w:val="00E722F3"/>
    <w:rsid w:val="00E76DD0"/>
    <w:rsid w:val="00E80F53"/>
    <w:rsid w:val="00E82667"/>
    <w:rsid w:val="00E8282F"/>
    <w:rsid w:val="00E846AF"/>
    <w:rsid w:val="00E84FCA"/>
    <w:rsid w:val="00E86730"/>
    <w:rsid w:val="00E938A6"/>
    <w:rsid w:val="00E93F32"/>
    <w:rsid w:val="00EB004C"/>
    <w:rsid w:val="00EB0448"/>
    <w:rsid w:val="00EB1C6D"/>
    <w:rsid w:val="00EB277A"/>
    <w:rsid w:val="00EB340B"/>
    <w:rsid w:val="00EB3A9C"/>
    <w:rsid w:val="00EB5D55"/>
    <w:rsid w:val="00EC064D"/>
    <w:rsid w:val="00EC07C1"/>
    <w:rsid w:val="00EC251D"/>
    <w:rsid w:val="00ED1E24"/>
    <w:rsid w:val="00ED1FBE"/>
    <w:rsid w:val="00ED22AA"/>
    <w:rsid w:val="00ED7BD4"/>
    <w:rsid w:val="00EE52F9"/>
    <w:rsid w:val="00EE56E9"/>
    <w:rsid w:val="00EE5FE3"/>
    <w:rsid w:val="00EE6458"/>
    <w:rsid w:val="00EF5128"/>
    <w:rsid w:val="00F01CB7"/>
    <w:rsid w:val="00F05A89"/>
    <w:rsid w:val="00F14B80"/>
    <w:rsid w:val="00F15B48"/>
    <w:rsid w:val="00F2278F"/>
    <w:rsid w:val="00F25E68"/>
    <w:rsid w:val="00F31F23"/>
    <w:rsid w:val="00F33AC2"/>
    <w:rsid w:val="00F360F4"/>
    <w:rsid w:val="00F42723"/>
    <w:rsid w:val="00F450B2"/>
    <w:rsid w:val="00F511A5"/>
    <w:rsid w:val="00F530BE"/>
    <w:rsid w:val="00F53998"/>
    <w:rsid w:val="00F57285"/>
    <w:rsid w:val="00F614EC"/>
    <w:rsid w:val="00F70783"/>
    <w:rsid w:val="00F86DD1"/>
    <w:rsid w:val="00F90156"/>
    <w:rsid w:val="00F9574F"/>
    <w:rsid w:val="00F95A5E"/>
    <w:rsid w:val="00FA0D9F"/>
    <w:rsid w:val="00FA2AB2"/>
    <w:rsid w:val="00FA2BE9"/>
    <w:rsid w:val="00FA4D99"/>
    <w:rsid w:val="00FB0DA7"/>
    <w:rsid w:val="00FB1864"/>
    <w:rsid w:val="00FB2363"/>
    <w:rsid w:val="00FB5E5E"/>
    <w:rsid w:val="00FB77EE"/>
    <w:rsid w:val="00FC3513"/>
    <w:rsid w:val="00FC6326"/>
    <w:rsid w:val="00FC6C9F"/>
    <w:rsid w:val="00FE0948"/>
    <w:rsid w:val="00FE3518"/>
    <w:rsid w:val="00FE35F1"/>
    <w:rsid w:val="00FE3988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9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b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c">
    <w:name w:val="Body Text Indent"/>
    <w:basedOn w:val="a"/>
    <w:link w:val="ad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e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f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E21EA8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с отступом Знак"/>
    <w:link w:val="ac"/>
    <w:rsid w:val="002E7A58"/>
    <w:rPr>
      <w:sz w:val="26"/>
      <w:lang w:val="ru-RU" w:eastAsia="ru-RU" w:bidi="ar-SA"/>
    </w:rPr>
  </w:style>
  <w:style w:type="paragraph" w:styleId="af1">
    <w:name w:val="List Paragraph"/>
    <w:basedOn w:val="a"/>
    <w:uiPriority w:val="34"/>
    <w:qFormat/>
    <w:rsid w:val="00E71F31"/>
    <w:pPr>
      <w:ind w:left="720"/>
      <w:contextualSpacing/>
    </w:pPr>
  </w:style>
  <w:style w:type="paragraph" w:customStyle="1" w:styleId="ConsPlusNormal">
    <w:name w:val="ConsPlusNormal"/>
    <w:rsid w:val="00681EE8"/>
    <w:pPr>
      <w:widowControl w:val="0"/>
      <w:autoSpaceDE w:val="0"/>
      <w:autoSpaceDN w:val="0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9173B4"/>
    <w:rPr>
      <w:b/>
      <w:caps/>
      <w:sz w:val="28"/>
    </w:rPr>
  </w:style>
  <w:style w:type="character" w:styleId="af2">
    <w:name w:val="Hyperlink"/>
    <w:basedOn w:val="a0"/>
    <w:rsid w:val="000033E8"/>
    <w:rPr>
      <w:color w:val="0000FF" w:themeColor="hyperlink"/>
      <w:u w:val="single"/>
    </w:rPr>
  </w:style>
  <w:style w:type="paragraph" w:styleId="af3">
    <w:name w:val="footnote text"/>
    <w:basedOn w:val="a"/>
    <w:link w:val="af4"/>
    <w:semiHidden/>
    <w:unhideWhenUsed/>
    <w:rsid w:val="005123BD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5123BD"/>
  </w:style>
  <w:style w:type="character" w:styleId="af5">
    <w:name w:val="footnote reference"/>
    <w:basedOn w:val="a0"/>
    <w:semiHidden/>
    <w:unhideWhenUsed/>
    <w:rsid w:val="00512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9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b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c">
    <w:name w:val="Body Text Indent"/>
    <w:basedOn w:val="a"/>
    <w:link w:val="ad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e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f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E21EA8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с отступом Знак"/>
    <w:link w:val="ac"/>
    <w:rsid w:val="002E7A58"/>
    <w:rPr>
      <w:sz w:val="26"/>
      <w:lang w:val="ru-RU" w:eastAsia="ru-RU" w:bidi="ar-SA"/>
    </w:rPr>
  </w:style>
  <w:style w:type="paragraph" w:styleId="af1">
    <w:name w:val="List Paragraph"/>
    <w:basedOn w:val="a"/>
    <w:uiPriority w:val="34"/>
    <w:qFormat/>
    <w:rsid w:val="00E71F31"/>
    <w:pPr>
      <w:ind w:left="720"/>
      <w:contextualSpacing/>
    </w:pPr>
  </w:style>
  <w:style w:type="paragraph" w:customStyle="1" w:styleId="ConsPlusNormal">
    <w:name w:val="ConsPlusNormal"/>
    <w:rsid w:val="00681EE8"/>
    <w:pPr>
      <w:widowControl w:val="0"/>
      <w:autoSpaceDE w:val="0"/>
      <w:autoSpaceDN w:val="0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9173B4"/>
    <w:rPr>
      <w:b/>
      <w:caps/>
      <w:sz w:val="28"/>
    </w:rPr>
  </w:style>
  <w:style w:type="character" w:styleId="af2">
    <w:name w:val="Hyperlink"/>
    <w:basedOn w:val="a0"/>
    <w:rsid w:val="000033E8"/>
    <w:rPr>
      <w:color w:val="0000FF" w:themeColor="hyperlink"/>
      <w:u w:val="single"/>
    </w:rPr>
  </w:style>
  <w:style w:type="paragraph" w:styleId="af3">
    <w:name w:val="footnote text"/>
    <w:basedOn w:val="a"/>
    <w:link w:val="af4"/>
    <w:semiHidden/>
    <w:unhideWhenUsed/>
    <w:rsid w:val="005123BD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5123BD"/>
  </w:style>
  <w:style w:type="character" w:styleId="af5">
    <w:name w:val="footnote reference"/>
    <w:basedOn w:val="a0"/>
    <w:semiHidden/>
    <w:unhideWhenUsed/>
    <w:rsid w:val="00512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F37B-2BA0-4189-9E13-A5F7CE0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2259</Words>
  <Characters>17226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2023-06-13T07:50:00Z</dcterms:created>
  <dcterms:modified xsi:type="dcterms:W3CDTF">2023-06-13T07:50:00Z</dcterms:modified>
</cp:coreProperties>
</file>