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right="5670"/>
        <w:spacing w:before="0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</w:r>
      <w:r/>
    </w:p>
    <w:p>
      <w:pPr>
        <w:pStyle w:val="902"/>
        <w:ind w:right="5670"/>
        <w:spacing w:before="0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</w:r>
      <w:r/>
    </w:p>
    <w:p>
      <w:pPr>
        <w:pStyle w:val="902"/>
        <w:ind w:right="5670"/>
        <w:spacing w:before="0"/>
        <w:rPr>
          <w:rFonts w:ascii="PT Astra Serif" w:hAnsi="PT Astra Serif"/>
          <w:b/>
          <w:sz w:val="22"/>
        </w:rPr>
      </w:pPr>
      <w:r>
        <w:rPr>
          <w:rFonts w:ascii="PT Astra Serif" w:hAnsi="PT Astra Serif"/>
          <w:b/>
          <w:sz w:val="22"/>
        </w:rPr>
      </w:r>
      <w:r/>
    </w:p>
    <w:p>
      <w:pPr>
        <w:pStyle w:val="893"/>
        <w:ind w:left="0" w:right="1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  <w:br/>
        <w:t xml:space="preserve"> Томской области от 01.10.2021 № 420а</w:t>
      </w:r>
      <w:r>
        <w:rPr>
          <w:sz w:val="28"/>
          <w:szCs w:val="28"/>
        </w:rPr>
      </w:r>
      <w:r/>
    </w:p>
    <w:p>
      <w:pPr>
        <w:ind w:right="4677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893"/>
        <w:ind w:right="4677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93"/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В целях совершенствования нормативного правового акта</w:t>
      </w:r>
      <w:r>
        <w:rPr>
          <w:sz w:val="28"/>
          <w:szCs w:val="28"/>
        </w:rPr>
      </w:r>
      <w:r/>
    </w:p>
    <w:p>
      <w:pPr>
        <w:pStyle w:val="893"/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pacing w:val="10"/>
          <w:sz w:val="28"/>
          <w:szCs w:val="28"/>
        </w:rPr>
        <w:suppressLineNumbers w:val="0"/>
      </w:pPr>
      <w:r>
        <w:rPr>
          <w:rFonts w:ascii="PT Astra Serif" w:hAnsi="PT Astra Serif"/>
          <w:spacing w:val="10"/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pStyle w:val="893"/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Томской области от 01.10.2021 № 420а «Об утверждении Положения о региональном государственном контроле (надзоре) в области обращения с животными на территории Томской области» («</w:t>
      </w:r>
      <w:r>
        <w:rPr>
          <w:rFonts w:ascii="PT Astra Serif" w:hAnsi="PT Astra Serif"/>
          <w:sz w:val="28"/>
          <w:szCs w:val="28"/>
        </w:rPr>
        <w:t xml:space="preserve">Собрание законодательства Томской области», 2021, № 10/1(276)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в Положении о региональном государственном контроле (надзоре) в области обращения с животными на территории Томской области, утв</w:t>
      </w:r>
      <w:r>
        <w:rPr>
          <w:rFonts w:ascii="PT Astra Serif" w:hAnsi="PT Astra Serif"/>
          <w:sz w:val="28"/>
          <w:szCs w:val="28"/>
          <w:highlight w:val="none"/>
        </w:rPr>
        <w:t xml:space="preserve">ержденном указанным постановлением: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1) в пункте 13</w:t>
      </w:r>
      <w:r>
        <w:rPr>
          <w:rFonts w:ascii="PT Astra Serif" w:hAnsi="PT Astra Serif"/>
          <w:sz w:val="28"/>
          <w:szCs w:val="28"/>
          <w:highlight w:val="none"/>
        </w:rPr>
        <w:t xml:space="preserve">:</w:t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  <w:t xml:space="preserve">подпункт а) подпункта 2) изложить в следующей редакции:</w:t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а) деятельность юридических лиц и индивидуальных предпринимателей по содержанию, использованию животных, иному обращению с животными, за исключением деятельности </w:t>
      </w:r>
      <w:r>
        <w:rPr>
          <w:rFonts w:ascii="PT Astra Serif" w:hAnsi="PT Astra Serif"/>
          <w:sz w:val="28"/>
          <w:szCs w:val="28"/>
          <w:highlight w:val="none"/>
        </w:rPr>
        <w:t xml:space="preserve">юридических лиц и индивидуальных предпринимателей</w:t>
      </w:r>
      <w:r>
        <w:rPr>
          <w:rFonts w:ascii="PT Astra Serif" w:hAnsi="PT Astra Serif"/>
          <w:sz w:val="28"/>
          <w:szCs w:val="28"/>
          <w:highlight w:val="none"/>
        </w:rPr>
        <w:t xml:space="preserve"> по содержанию, использованию животных, отнесенной к объектам федерального государственного контроля (надзора) в области обращения с животными;»; 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подпункт 3) </w:t>
      </w:r>
      <w:r>
        <w:rPr>
          <w:rFonts w:ascii="PT Astra Serif" w:hAnsi="PT Astra Serif"/>
          <w:sz w:val="28"/>
          <w:szCs w:val="28"/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yellow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«3) </w:t>
      </w:r>
      <w:r>
        <w:rPr>
          <w:rFonts w:ascii="PT Astra Serif" w:hAnsi="PT Astra Serif"/>
          <w:sz w:val="28"/>
          <w:szCs w:val="28"/>
          <w:highlight w:val="none"/>
        </w:rPr>
        <w:t xml:space="preserve">к категории ни</w:t>
      </w:r>
      <w:r>
        <w:rPr>
          <w:rFonts w:ascii="PT Astra Serif" w:hAnsi="PT Astra Serif"/>
          <w:sz w:val="28"/>
          <w:szCs w:val="28"/>
          <w:highlight w:val="none"/>
        </w:rPr>
        <w:t xml:space="preserve">зкого риска – деятельность физических лиц,</w:t>
      </w:r>
      <w:r>
        <w:rPr>
          <w:rFonts w:ascii="PT Astra Serif" w:hAnsi="PT Astra Serif"/>
          <w:sz w:val="28"/>
          <w:szCs w:val="28"/>
          <w:highlight w:val="none"/>
        </w:rPr>
        <w:t xml:space="preserve"> являющихся контролируемыми лицами в соответствии с Федеральным законом № 248-ФЗ, </w:t>
      </w:r>
      <w:r>
        <w:rPr>
          <w:rFonts w:ascii="PT Astra Serif" w:hAnsi="PT Astra Serif"/>
          <w:sz w:val="28"/>
          <w:szCs w:val="28"/>
          <w:highlight w:val="none"/>
        </w:rPr>
        <w:t xml:space="preserve">по содержанию, использованию животных, иному обращению с животными, за исключением деятельности </w:t>
      </w:r>
      <w:r>
        <w:rPr>
          <w:rFonts w:ascii="PT Astra Serif" w:hAnsi="PT Astra Serif"/>
          <w:sz w:val="28"/>
          <w:szCs w:val="28"/>
          <w:highlight w:val="none"/>
        </w:rPr>
        <w:t xml:space="preserve">физических лиц</w:t>
      </w:r>
      <w:r>
        <w:rPr>
          <w:rFonts w:ascii="PT Astra Serif" w:hAnsi="PT Astra Serif"/>
          <w:sz w:val="28"/>
          <w:szCs w:val="28"/>
          <w:highlight w:val="none"/>
        </w:rPr>
        <w:t xml:space="preserve"> по содержанию, использованию животных, отнесенной к объектам федерального государственного контроля (надзора) в области обращения</w:t>
      </w:r>
      <w:r>
        <w:rPr>
          <w:rFonts w:ascii="PT Astra Serif" w:hAnsi="PT Astra Serif"/>
          <w:sz w:val="28"/>
          <w:szCs w:val="28"/>
        </w:rPr>
        <w:t xml:space="preserve"> с животными</w:t>
      </w:r>
      <w:r>
        <w:rPr>
          <w:rFonts w:ascii="PT Astra Serif" w:hAnsi="PT Astra Serif"/>
          <w:sz w:val="28"/>
          <w:szCs w:val="28"/>
          <w:highlight w:val="none"/>
        </w:rPr>
        <w:t xml:space="preserve">;»;</w:t>
      </w:r>
      <w:r>
        <w:rPr>
          <w:rFonts w:ascii="PT Astra Serif" w:hAnsi="PT Astra Serif"/>
          <w:sz w:val="28"/>
          <w:szCs w:val="28"/>
          <w:highlight w:val="yellow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2) в первом абзаце пункта 15 </w:t>
      </w:r>
      <w:r/>
      <w:r>
        <w:rPr>
          <w:rFonts w:ascii="PT Astra Serif" w:hAnsi="PT Astra Serif"/>
          <w:sz w:val="28"/>
          <w:szCs w:val="28"/>
          <w:highlight w:val="none"/>
        </w:rPr>
        <w:t xml:space="preserve">слово «плановые» исключить;</w:t>
      </w:r>
      <w:r>
        <w:rPr>
          <w:rFonts w:ascii="PT Astra Serif" w:hAnsi="PT Astra Serif"/>
          <w:sz w:val="28"/>
          <w:szCs w:val="28"/>
          <w:highlight w:val="none"/>
        </w:rPr>
      </w:r>
      <w:r/>
      <w:r>
        <w:rPr>
          <w:rFonts w:ascii="PT Astra Serif" w:hAnsi="PT Astra Serif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3) пункт 16 изложить в следующей редакции:</w:t>
      </w:r>
      <w:r>
        <w:rPr>
          <w:sz w:val="28"/>
          <w:szCs w:val="28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yellow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«16. Региональный государственный контроль (надзор) осуществляется на плановой основе в отношении </w:t>
      </w:r>
      <w:r>
        <w:rPr>
          <w:rFonts w:ascii="PT Astra Serif" w:hAnsi="PT Astra Serif"/>
          <w:sz w:val="28"/>
          <w:szCs w:val="28"/>
          <w:highlight w:val="none"/>
        </w:rPr>
        <w:t xml:space="preserve">о</w:t>
      </w:r>
      <w:r>
        <w:rPr>
          <w:rFonts w:ascii="PT Astra Serif" w:hAnsi="PT Astra Serif"/>
          <w:sz w:val="28"/>
          <w:szCs w:val="28"/>
          <w:highlight w:val="none"/>
        </w:rPr>
        <w:t xml:space="preserve">бъектов контроля (надзора) с высокой категорией риска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– одно плановое конт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рольное (надзорное) мероприятие в два года (инспекционный визит или выездная проверка). Плановые контрольные (надзорные) мероприятия могут быть заменены обязательным профилактическим визитом в соответствии с частью 2 статьи 25 Федерального закона № 248-ФЗ.</w:t>
      </w:r>
      <w:r>
        <w:rPr>
          <w:rFonts w:ascii="PT Astra Serif" w:hAnsi="PT Astra Serif"/>
          <w:sz w:val="28"/>
          <w:szCs w:val="28"/>
          <w:highlight w:val="yellow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Для объектов контроля (надзора), отнесенных к категорий среднего риска, периодичность проведения обязательных профилактических визитов определяется Правительством Российской Федерации.</w:t>
      </w:r>
      <w:r>
        <w:rPr>
          <w:sz w:val="28"/>
          <w:szCs w:val="28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План контрольных (надзорных) мероприятий формируется в порядке, установленном статьей 61 Федерального закона № 248-ФЗ.»;</w:t>
      </w:r>
      <w:r>
        <w:rPr>
          <w:sz w:val="28"/>
          <w:szCs w:val="28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4) пункт 21 изложить в следующей редакции:</w:t>
      </w:r>
      <w:r>
        <w:rPr>
          <w:sz w:val="28"/>
          <w:szCs w:val="28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«21. </w:t>
      </w:r>
      <w:r>
        <w:rPr>
          <w:rFonts w:ascii="PT Astra Serif" w:hAnsi="PT Astra Serif"/>
          <w:sz w:val="28"/>
          <w:szCs w:val="28"/>
          <w:highlight w:val="none"/>
        </w:rPr>
        <w:t xml:space="preserve">Д</w:t>
      </w:r>
      <w:r>
        <w:rPr>
          <w:rFonts w:ascii="PT Astra Serif" w:hAnsi="PT Astra Serif"/>
          <w:sz w:val="28"/>
          <w:szCs w:val="28"/>
          <w:highlight w:val="none"/>
        </w:rPr>
        <w:t xml:space="preserve">епартамент объявляет контролируемому лицу предостережение о недопустимости нарушения обязательных требований (далее - предостережение) в случаях и порядке, установленных статьей 49 Федерального закона № 248-ФЗ.</w:t>
      </w:r>
      <w:r>
        <w:rPr>
          <w:rFonts w:ascii="PT Astra Serif" w:hAnsi="PT Astra Serif"/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5) второй абзац подпункта 6) пункта 23 изложить в следующей редакции:</w:t>
      </w:r>
      <w:r>
        <w:rPr>
          <w:sz w:val="28"/>
          <w:szCs w:val="28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«К возражению в отношении предостережения контролируемое лицо вправе приложить документы либо заверенные копии документов, подтверждающие доводы, на основании которых контролируемое лицо не согласно с объявленным предостережением.»;</w:t>
      </w:r>
      <w:r>
        <w:rPr>
          <w:sz w:val="28"/>
          <w:szCs w:val="28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</w:rPr>
        <w:t xml:space="preserve">6) в пункте 24 слова «его получения» заменить словами «получения возражения», слова «его рассмотрения» заменить словами «рассмотрения возражения».</w:t>
      </w:r>
      <w:r>
        <w:rPr>
          <w:sz w:val="28"/>
          <w:szCs w:val="28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7) пункт 28 изложить в следующей редакции:</w:t>
      </w:r>
      <w:r>
        <w:rPr>
          <w:sz w:val="28"/>
          <w:szCs w:val="28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«28. </w:t>
      </w:r>
      <w:r>
        <w:rPr>
          <w:sz w:val="28"/>
          <w:szCs w:val="28"/>
          <w:highlight w:val="none"/>
        </w:rPr>
        <w:t xml:space="preserve">Учет консультаций осуществляется путем ведения журнала кон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сультаций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.»;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8) в пункте 29 слова «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м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ожет предложить контролируемому лицу и его представителю обратиться письменно или назначить другое удобное для него время консультации, либо переадресовать (перевести) на другое должностное лицо, структурное подразделение, организацию, или сообщить телефон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ный номер, по которому можно получить необходимую информацию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» заменить словами «предлагает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контролируемому лицу и его представителю обратиться письменно либо переадресовывает (переводит) на другое должностное лицо,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у которого можно получить консультирование.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»;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9) пункты 30-33 изложить в следующей редакции: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«30. 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31. Профилактический визит по инициативе Департамента (обязательный профилактический визит) или по инициативе контролируемого лица проводится в соответствии со статями 52, 52</w:t>
      </w:r>
      <w:r>
        <w:rPr>
          <w:rFonts w:ascii="PT Astra Serif" w:hAnsi="PT Astra Serif"/>
          <w:sz w:val="28"/>
          <w:szCs w:val="28"/>
          <w:highlight w:val="none"/>
          <w:vertAlign w:val="superscript"/>
          <w:lang w:val="ru-RU"/>
        </w:rPr>
        <w:t xml:space="preserve">1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, 52</w:t>
      </w:r>
      <w:r>
        <w:rPr>
          <w:rFonts w:ascii="PT Astra Serif" w:hAnsi="PT Astra Serif"/>
          <w:sz w:val="28"/>
          <w:szCs w:val="28"/>
          <w:highlight w:val="none"/>
          <w:vertAlign w:val="superscript"/>
          <w:lang w:val="ru-RU"/>
        </w:rPr>
        <w:t xml:space="preserve">2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 Федерального закона № 248-ФЗ.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32. Обязательный профилактический визит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проводится в случаях, установленных подпунктами 1), 4) части 1 статьи 52</w:t>
      </w:r>
      <w:r>
        <w:rPr>
          <w:rFonts w:ascii="PT Astra Serif" w:hAnsi="PT Astra Serif"/>
          <w:sz w:val="28"/>
          <w:szCs w:val="28"/>
          <w:highlight w:val="none"/>
          <w:vertAlign w:val="superscript"/>
          <w:lang w:val="ru-RU"/>
        </w:rPr>
        <w:t xml:space="preserve">1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Федерального закона</w:t>
        <w:br/>
        <w:t xml:space="preserve">№ 248-ФЗ.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33. Профилактический визит по иниц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иативе контролируемого лица может быть проведен по его заявлению, если такое лицо относится к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»;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10) пункты 34, 35, 36, 36-1 признать утратившими силу;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11) раздел 3 «Осуществление регионального государственного контроля (надзора)» дополнить пунктом 36-2 следующего содержания: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«36-2. По результатам проведения контрольных (надзорных) мероприятий публичная оценка уровня соблюдения обязательных требований не присваивается.»;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12) в пункте 39 слова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«пунктами 1, 3-5 части 1 статьи 57» заменить словами «пунктами 1-5, 7, 9 части 1 статьи 57»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13) 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в пункте 40 слова «пунктами 3-6 части 1, частью 3 статьи 57» заменить словами «пунктами 3,4 части 1 статьи 57»;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14) в пункте 42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слова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«пунктами 1, 3-5 части 1 статьи 57» заменить словами «пунктами 1-5, 7, 9 части 1 статьи 57»;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15) в пункте 43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«пунктами 3-6 части 1, частью 3 статьи 57» заменить словами «пунктами 3, 4 части 1 статьи 57»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16) пункт 45 изложить в следующей редакции: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«45. Документарная проверки проводится при наличии оснований, предусмотренных пунктами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1-5, 7, 9 части 1 статьи 57 Федерального закона № 248-ФЗ.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Внеплановая документарная проверка может проводиться только по согласованию с прокуратурой Томской области, за исключением случая ее проведения в соответствии с пунктами 3,4 части 1 статьи 57 Федерального закона № 248-ФЗ.»;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17) в пункте 47 слова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«пунктами 1, 3-5 части 1 статьи 57»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 заменить словами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«пунктами 1-5, 7, 9 части 1 статьи 57»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18) в пункте 48 слова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«пунктами 3-6 части 1, частью 3 статьи 57» заменить словами «пунктами 3, 4 части 1 статьи 57»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19) Дополнить пунктами 57-1, 57-2 следующего содержания: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«57-1. 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Наблюдение за соблюдением обязательных требований осуществляется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 Департаментом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без взаимодействия с контролируемым лицом в порядке, установленном статьей 74 Федерального закона № 248-ФЗ.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При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выявлении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в ходе наблюдения за соблюдением обязательных требований фактов причинения вреда (ущерба) или возникновения угрозы причинения вреда (ущерба) охраняемым законом ценностям, сведений о нарушениях обязательных требований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, о готовящихся нарушениях обязательных требований или признаках нарушений обязательных требований, Департаментом принимаются следующие решения: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1) решение о проведении внепланового контрольного (надзорного) мероприятия в соответствии со статьей 60 Федерального закона 248-ФЗ;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2) решение об объявлении предостережения.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57-2. Выездное обследование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осуществляется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 Департаментом 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без взаимодействия с контролируемым лицом в порядке, установленном статьей 75 Федерального закона № 248-ФЗ.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Срок проведения выездного обследования одного объекта не может превышать один рабочий день.»;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20) пункт 59 изложить в следующей редакции: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«59. 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Обжалование контролируемым лицом решений Департамента, действий (бездействия) его должностных лиц осуществляется в соответствии со статьями 39 - 43 Федерального закона № 248-ФЗ.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»;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21) пункт 60 изложить в следующей редакции: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«60. 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Жалоба на решение Департамента, действи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я (бездействие) должностных лиц в досудебном порядке рассматривается начальником Департамента, жалоба на действия (бездействие) начальника Департамента рассматривается заместителем Губернатора Томской области агропромышленной политике и природопользованию.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»;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22) в пункте 8 Индикативных показателей регионального государств</w:t>
      </w: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енного контроля (надзора) в области обращения в животным, являющихся приложением к Положению о региональном государственном контроле (надзоре) в области обращения с животными на территории Томской области, слово «вынесенных» заменить словом «объявленных». 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/>
          <w:sz w:val="28"/>
          <w:szCs w:val="28"/>
          <w:highlight w:val="none"/>
          <w:lang w:val="ru-RU"/>
        </w:rPr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/>
          <w:sz w:val="28"/>
          <w:szCs w:val="28"/>
          <w:highlight w:val="none"/>
          <w:lang w:val="ru-RU"/>
        </w:rPr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/>
          <w:sz w:val="28"/>
          <w:szCs w:val="28"/>
          <w:highlight w:val="none"/>
          <w:lang w:val="ru-RU"/>
        </w:rPr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/>
          <w:sz w:val="28"/>
          <w:szCs w:val="28"/>
          <w:highlight w:val="none"/>
          <w:lang w:val="ru-RU"/>
        </w:rPr>
        <w:t xml:space="preserve">Губернатор Томской области</w:t>
        <w:tab/>
        <w:t xml:space="preserve">      В.В. Мазур</w:t>
      </w:r>
      <w:r>
        <w:rPr>
          <w:rFonts w:ascii="PT Astra Serif" w:hAnsi="PT Astra Serif"/>
          <w:sz w:val="28"/>
          <w:szCs w:val="28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highlight w:val="none"/>
          <w:lang w:val="ru-RU"/>
          <w14:ligatures w14:val="none"/>
        </w:rPr>
      </w:pPr>
      <w:r>
        <w:rPr>
          <w:rFonts w:ascii="PT Astra Serif" w:hAnsi="PT Astra Serif"/>
          <w:highlight w:val="none"/>
          <w:lang w:val="ru-RU"/>
        </w:rPr>
      </w:r>
      <w:r>
        <w:rPr>
          <w:rFonts w:ascii="PT Astra Serif" w:hAnsi="PT Astra Serif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highlight w:val="none"/>
          <w:lang w:val="ru-RU"/>
          <w14:ligatures w14:val="none"/>
        </w:rPr>
      </w:pPr>
      <w:r>
        <w:rPr>
          <w:rFonts w:ascii="PT Astra Serif" w:hAnsi="PT Astra Serif"/>
          <w:highlight w:val="none"/>
          <w:lang w:val="ru-RU"/>
        </w:rPr>
      </w:r>
      <w:r>
        <w:rPr>
          <w:rFonts w:ascii="PT Astra Serif" w:hAnsi="PT Astra Serif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highlight w:val="none"/>
          <w:lang w:val="ru-RU"/>
          <w14:ligatures w14:val="none"/>
        </w:rPr>
      </w:pPr>
      <w:r>
        <w:rPr>
          <w:rFonts w:ascii="PT Astra Serif" w:hAnsi="PT Astra Serif"/>
          <w:highlight w:val="none"/>
          <w:lang w:val="ru-RU"/>
        </w:rPr>
      </w:r>
      <w:r>
        <w:rPr>
          <w:rFonts w:ascii="PT Astra Serif" w:hAnsi="PT Astra Serif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highlight w:val="none"/>
          <w:lang w:val="ru-RU"/>
          <w14:ligatures w14:val="none"/>
        </w:rPr>
      </w:pPr>
      <w:r>
        <w:rPr>
          <w:rFonts w:ascii="PT Astra Serif" w:hAnsi="PT Astra Serif"/>
          <w:highlight w:val="none"/>
          <w:lang w:val="ru-RU"/>
        </w:rPr>
      </w:r>
      <w:r>
        <w:rPr>
          <w:rFonts w:ascii="PT Astra Serif" w:hAnsi="PT Astra Serif"/>
          <w:highlight w:val="none"/>
          <w:lang w:val="ru-RU"/>
        </w:rPr>
      </w:r>
      <w:r/>
    </w:p>
    <w:p>
      <w:pPr>
        <w:contextualSpacing w:val="0"/>
        <w:jc w:val="both"/>
        <w:spacing w:before="0" w:after="0" w:line="240" w:lineRule="auto"/>
        <w:tabs>
          <w:tab w:val="left" w:pos="7088" w:leader="none"/>
        </w:tabs>
        <w:rPr>
          <w:rFonts w:ascii="PT Astra Serif" w:hAnsi="PT Astra Serif"/>
          <w:highlight w:val="none"/>
          <w:lang w:val="ru-RU"/>
          <w14:ligatures w14:val="none"/>
        </w:rPr>
      </w:pPr>
      <w:r>
        <w:rPr>
          <w:rFonts w:ascii="PT Astra Serif" w:hAnsi="PT Astra Serif"/>
          <w:highlight w:val="none"/>
          <w:lang w:val="ru-RU"/>
        </w:rPr>
      </w:r>
      <w:r>
        <w:rPr>
          <w:rFonts w:ascii="PT Astra Serif" w:hAnsi="PT Astra Serif"/>
          <w:highlight w:val="none"/>
          <w:lang w:val="ru-RU"/>
        </w:rPr>
      </w:r>
      <w:r/>
    </w:p>
    <w:p>
      <w:pPr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893"/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</w:r>
      <w:r/>
    </w:p>
    <w:p>
      <w:pPr>
        <w:pStyle w:val="893"/>
        <w:ind w:firstLine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Табакаев Валерий Витальевич</w:t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notePr/>
      <w:endnotePr/>
      <w:type w:val="continuous"/>
      <w:pgSz w:w="11907" w:h="16840" w:orient="portrait"/>
      <w:pgMar w:top="1418" w:right="851" w:bottom="1134" w:left="1701" w:header="720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left="-567"/>
      <w:rPr>
        <w:sz w:val="18"/>
      </w:rPr>
    </w:pPr>
    <w:r>
      <w:rPr>
        <w:sz w:val="1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00"/>
        <w:rFonts w:ascii="PT Astra Serif" w:hAnsi="PT Astra Serif" w:cs="PT Astra Serif"/>
        <w:b w:val="0"/>
        <w:bCs w:val="0"/>
        <w:sz w:val="24"/>
      </w:rPr>
      <w:framePr w:wrap="around" w:vAnchor="text" w:hAnchor="margin" w:xAlign="center" w:y="1"/>
    </w:pPr>
    <w:r>
      <w:rPr>
        <w:rStyle w:val="900"/>
        <w:b/>
        <w:sz w:val="24"/>
      </w:rPr>
      <w:fldChar w:fldCharType="begin"/>
    </w:r>
    <w:r>
      <w:rPr>
        <w:rStyle w:val="900"/>
        <w:b/>
        <w:sz w:val="24"/>
      </w:rPr>
      <w:instrText xml:space="preserve">PAGE  </w:instrText>
    </w:r>
    <w:r>
      <w:rPr>
        <w:rStyle w:val="900"/>
        <w:rFonts w:ascii="PT Astra Serif" w:hAnsi="PT Astra Serif" w:cs="PT Astra Serif"/>
        <w:b w:val="0"/>
        <w:bCs w:val="0"/>
        <w:sz w:val="24"/>
      </w:rPr>
      <w:fldChar w:fldCharType="separate"/>
    </w:r>
    <w:r>
      <w:rPr>
        <w:rStyle w:val="900"/>
        <w:rFonts w:ascii="PT Astra Serif" w:hAnsi="PT Astra Serif" w:cs="PT Astra Serif"/>
        <w:b w:val="0"/>
        <w:bCs w:val="0"/>
        <w:sz w:val="24"/>
      </w:rPr>
      <w:t xml:space="preserve">2</w:t>
    </w:r>
    <w:r>
      <w:rPr>
        <w:rStyle w:val="900"/>
        <w:rFonts w:ascii="PT Astra Serif" w:hAnsi="PT Astra Serif" w:cs="PT Astra Serif"/>
        <w:b w:val="0"/>
        <w:bCs w:val="0"/>
        <w:sz w:val="24"/>
      </w:rPr>
      <w:fldChar w:fldCharType="end"/>
    </w:r>
    <w:r>
      <w:rPr>
        <w:rStyle w:val="900"/>
        <w:rFonts w:ascii="PT Astra Serif" w:hAnsi="PT Astra Serif" w:cs="PT Astra Serif"/>
        <w:b w:val="0"/>
        <w:bCs w:val="0"/>
        <w:sz w:val="24"/>
      </w:rPr>
    </w:r>
    <w:r>
      <w:rPr>
        <w:rFonts w:ascii="PT Astra Serif" w:hAnsi="PT Astra Serif" w:cs="PT Astra Serif"/>
        <w:b w:val="0"/>
        <w:bCs w:val="0"/>
      </w:rPr>
    </w:r>
  </w:p>
  <w:p>
    <w:pPr>
      <w:pStyle w:val="898"/>
      <w:rPr>
        <w:rFonts w:ascii="PT Astra Serif" w:hAnsi="PT Astra Serif" w:cs="PT Astra Serif"/>
        <w:b w:val="0"/>
        <w:bCs w:val="0"/>
      </w:rPr>
    </w:pPr>
    <w:r>
      <w:rPr>
        <w:rFonts w:ascii="PT Astra Serif" w:hAnsi="PT Astra Serif" w:cs="PT Astra Serif"/>
        <w:b w:val="0"/>
        <w:bCs w:val="0"/>
      </w:rPr>
    </w:r>
    <w:r>
      <w:rPr>
        <w:rFonts w:ascii="PT Astra Serif" w:hAnsi="PT Astra Serif" w:cs="PT Astra Serif"/>
        <w:b w:val="0"/>
        <w:bCs w:val="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/>
  </w:p>
  <w:p>
    <w:pPr>
      <w:pStyle w:val="8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firstLine="0"/>
      <w:jc w:val="center"/>
      <w:spacing w:after="120"/>
      <w:rPr>
        <w:rFonts w:ascii="PT Astra Serif" w:hAnsi="PT Astra Serif"/>
        <w:b/>
        <w:lang w:val="en-US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0251" cy="654850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0251" cy="65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6.7pt;height:51.6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/>
        <w:b/>
        <w:lang w:val="en-US"/>
      </w:rPr>
    </w:r>
    <w:r/>
  </w:p>
  <w:p>
    <w:pPr>
      <w:pStyle w:val="898"/>
      <w:ind w:firstLine="0"/>
      <w:spacing w:before="0" w:after="0" w:line="360" w:lineRule="exact"/>
    </w:pPr>
    <w:r>
      <w:rPr>
        <w:rFonts w:ascii="PT Astra Serif" w:hAnsi="PT Astra Serif"/>
        <w:sz w:val="30"/>
        <w:szCs w:val="30"/>
      </w:rPr>
      <w:t xml:space="preserve">администрация ТОМСКОЙ ОБЛАСТИ</w:t>
    </w:r>
    <w:r>
      <w:rPr>
        <w:rFonts w:ascii="PT Astra Serif" w:hAnsi="PT Astra Serif"/>
        <w:sz w:val="30"/>
        <w:szCs w:val="30"/>
        <w:lang w:val="en-US"/>
      </w:rPr>
    </w:r>
    <w:r/>
  </w:p>
  <w:p>
    <w:pPr>
      <w:pStyle w:val="898"/>
      <w:ind w:firstLine="0"/>
      <w:spacing w:before="240" w:after="0"/>
      <w:rPr>
        <w:rFonts w:ascii="PT Astra Serif" w:hAnsi="PT Astra Serif"/>
        <w:spacing w:val="20"/>
        <w:szCs w:val="28"/>
      </w:rPr>
    </w:pPr>
    <w:r>
      <w:rPr>
        <w:rFonts w:ascii="PT Astra Serif" w:hAnsi="PT Astra Serif"/>
        <w:spacing w:val="20"/>
        <w:szCs w:val="28"/>
      </w:rPr>
      <w:t xml:space="preserve">постановление</w:t>
    </w:r>
    <w:r/>
  </w:p>
  <w:p>
    <w:pPr>
      <w:pStyle w:val="898"/>
      <w:ind w:firstLine="0"/>
      <w:spacing w:before="240" w:after="0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>
    <w:name w:val="Heading 1"/>
    <w:basedOn w:val="893"/>
    <w:next w:val="893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6">
    <w:name w:val="Heading 1 Char"/>
    <w:link w:val="715"/>
    <w:uiPriority w:val="9"/>
    <w:rPr>
      <w:rFonts w:ascii="Arial" w:hAnsi="Arial" w:eastAsia="Arial" w:cs="Arial"/>
      <w:sz w:val="40"/>
      <w:szCs w:val="40"/>
    </w:rPr>
  </w:style>
  <w:style w:type="paragraph" w:styleId="717">
    <w:name w:val="Heading 2"/>
    <w:basedOn w:val="893"/>
    <w:next w:val="893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link w:val="717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93"/>
    <w:next w:val="893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93"/>
    <w:next w:val="893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93"/>
    <w:next w:val="893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893"/>
    <w:uiPriority w:val="34"/>
    <w:qFormat/>
    <w:pPr>
      <w:contextualSpacing/>
      <w:ind w:left="720"/>
    </w:p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3"/>
    <w:next w:val="893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link w:val="735"/>
    <w:uiPriority w:val="10"/>
    <w:rPr>
      <w:sz w:val="48"/>
      <w:szCs w:val="48"/>
    </w:rPr>
  </w:style>
  <w:style w:type="paragraph" w:styleId="737">
    <w:name w:val="Subtitle"/>
    <w:basedOn w:val="893"/>
    <w:next w:val="893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link w:val="737"/>
    <w:uiPriority w:val="11"/>
    <w:rPr>
      <w:sz w:val="24"/>
      <w:szCs w:val="24"/>
    </w:rPr>
  </w:style>
  <w:style w:type="paragraph" w:styleId="739">
    <w:name w:val="Quote"/>
    <w:basedOn w:val="893"/>
    <w:next w:val="893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3"/>
    <w:next w:val="893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paragraph" w:styleId="743">
    <w:name w:val="Header"/>
    <w:basedOn w:val="893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Header Char"/>
    <w:link w:val="743"/>
    <w:uiPriority w:val="99"/>
  </w:style>
  <w:style w:type="paragraph" w:styleId="745">
    <w:name w:val="Footer"/>
    <w:basedOn w:val="893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Footer Char"/>
    <w:link w:val="745"/>
    <w:uiPriority w:val="99"/>
  </w:style>
  <w:style w:type="paragraph" w:styleId="747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745"/>
    <w:uiPriority w:val="99"/>
  </w:style>
  <w:style w:type="table" w:styleId="74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next w:val="893"/>
    <w:link w:val="893"/>
    <w:qFormat/>
    <w:pPr>
      <w:ind w:firstLine="709"/>
    </w:pPr>
    <w:rPr>
      <w:sz w:val="26"/>
      <w:lang w:val="ru-RU" w:eastAsia="ru-RU" w:bidi="ar-SA"/>
    </w:rPr>
  </w:style>
  <w:style w:type="character" w:styleId="894">
    <w:name w:val="Основной шрифт абзаца"/>
    <w:next w:val="894"/>
    <w:link w:val="893"/>
    <w:semiHidden/>
  </w:style>
  <w:style w:type="table" w:styleId="895">
    <w:name w:val="Обычная таблица"/>
    <w:next w:val="895"/>
    <w:link w:val="893"/>
    <w:semiHidden/>
    <w:tblPr/>
  </w:style>
  <w:style w:type="numbering" w:styleId="896">
    <w:name w:val="Нет списка"/>
    <w:next w:val="896"/>
    <w:link w:val="893"/>
    <w:semiHidden/>
  </w:style>
  <w:style w:type="paragraph" w:styleId="897">
    <w:name w:val="Основной текст"/>
    <w:basedOn w:val="893"/>
    <w:next w:val="893"/>
    <w:link w:val="893"/>
    <w:pPr>
      <w:ind w:firstLine="0"/>
      <w:jc w:val="both"/>
    </w:pPr>
    <w:rPr>
      <w:sz w:val="22"/>
    </w:rPr>
  </w:style>
  <w:style w:type="paragraph" w:styleId="898">
    <w:name w:val="Верхний колонтитул"/>
    <w:basedOn w:val="893"/>
    <w:next w:val="898"/>
    <w:link w:val="893"/>
    <w:pPr>
      <w:jc w:val="center"/>
      <w:spacing w:before="120" w:after="240"/>
      <w:tabs>
        <w:tab w:val="center" w:pos="4153" w:leader="none"/>
        <w:tab w:val="right" w:pos="8306" w:leader="none"/>
      </w:tabs>
    </w:pPr>
    <w:rPr>
      <w:b/>
      <w:caps/>
      <w:sz w:val="28"/>
    </w:rPr>
  </w:style>
  <w:style w:type="paragraph" w:styleId="899">
    <w:name w:val="Нижний колонтитул"/>
    <w:basedOn w:val="893"/>
    <w:next w:val="899"/>
    <w:link w:val="893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4"/>
    <w:next w:val="900"/>
    <w:link w:val="893"/>
  </w:style>
  <w:style w:type="paragraph" w:styleId="901">
    <w:name w:val="Название объекта"/>
    <w:basedOn w:val="893"/>
    <w:next w:val="893"/>
    <w:link w:val="893"/>
    <w:qFormat/>
    <w:pPr>
      <w:jc w:val="center"/>
    </w:pPr>
    <w:rPr>
      <w:b/>
      <w:sz w:val="28"/>
    </w:rPr>
  </w:style>
  <w:style w:type="paragraph" w:styleId="902">
    <w:name w:val="Основной текст 2"/>
    <w:basedOn w:val="893"/>
    <w:next w:val="902"/>
    <w:link w:val="907"/>
    <w:pPr>
      <w:ind w:right="5102" w:firstLine="0"/>
      <w:jc w:val="center"/>
      <w:spacing w:before="120"/>
    </w:pPr>
  </w:style>
  <w:style w:type="paragraph" w:styleId="903">
    <w:name w:val="Обращение"/>
    <w:basedOn w:val="893"/>
    <w:next w:val="893"/>
    <w:link w:val="893"/>
    <w:pPr>
      <w:ind w:firstLine="0"/>
      <w:jc w:val="center"/>
      <w:spacing w:before="240" w:after="120"/>
    </w:pPr>
    <w:rPr>
      <w:b/>
    </w:rPr>
  </w:style>
  <w:style w:type="paragraph" w:styleId="904">
    <w:name w:val="Адресные реквизиты"/>
    <w:basedOn w:val="897"/>
    <w:next w:val="897"/>
    <w:link w:val="893"/>
    <w:pPr>
      <w:jc w:val="left"/>
    </w:pPr>
    <w:rPr>
      <w:sz w:val="16"/>
    </w:rPr>
  </w:style>
  <w:style w:type="paragraph" w:styleId="905">
    <w:name w:val="Адресат"/>
    <w:basedOn w:val="893"/>
    <w:next w:val="905"/>
    <w:link w:val="893"/>
    <w:pPr>
      <w:ind w:firstLine="0"/>
      <w:spacing w:before="120"/>
    </w:pPr>
    <w:rPr>
      <w:b/>
    </w:rPr>
  </w:style>
  <w:style w:type="paragraph" w:styleId="906">
    <w:name w:val="Основной текст 3"/>
    <w:basedOn w:val="893"/>
    <w:next w:val="906"/>
    <w:link w:val="893"/>
    <w:pPr>
      <w:ind w:firstLine="0"/>
      <w:spacing w:before="120"/>
      <w:tabs>
        <w:tab w:val="left" w:pos="7371" w:leader="none"/>
      </w:tabs>
    </w:pPr>
    <w:rPr>
      <w:sz w:val="28"/>
    </w:rPr>
  </w:style>
  <w:style w:type="character" w:styleId="907">
    <w:name w:val="Основной текст 2 Знак"/>
    <w:next w:val="907"/>
    <w:link w:val="902"/>
    <w:rPr>
      <w:sz w:val="26"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 Томской области</Company>
  <DocSecurity>0</DocSecurity>
  <HyperlinksChanged>false</HyperlinksChanged>
  <ScaleCrop>false</ScaleCrop>
  <SharedDoc>false</SharedDoc>
  <Template>Постановление АТО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revision>17</cp:revision>
  <dcterms:created xsi:type="dcterms:W3CDTF">2021-02-04T04:15:00Z</dcterms:created>
  <dcterms:modified xsi:type="dcterms:W3CDTF">2025-02-06T09:59:49Z</dcterms:modified>
  <cp:version>917504</cp:version>
</cp:coreProperties>
</file>