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6D0F99" w:rsidTr="00510BF9">
        <w:tc>
          <w:tcPr>
            <w:tcW w:w="1701" w:type="dxa"/>
            <w:tcBorders>
              <w:bottom w:val="none" w:sz="4" w:space="0" w:color="000000"/>
            </w:tcBorders>
          </w:tcPr>
          <w:p w:rsidR="006D0F99" w:rsidRPr="003E754B" w:rsidRDefault="008A338B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left"/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lightGray"/>
              </w:rPr>
            </w:pP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&lt;Дата&gt;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5670" w:type="dxa"/>
            <w:tcBorders>
              <w:bottom w:val="none" w:sz="4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 w:rsidR="006D0F99" w:rsidRPr="003E754B" w:rsidRDefault="006D0F99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6D0F99" w:rsidRPr="003E754B" w:rsidRDefault="008A338B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№ 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&lt;Номер&gt;</w:t>
            </w:r>
            <w:r w:rsidRPr="003E754B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PT Astra Serif" w:hAnsi="PT Astra Serif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sz w:val="26"/>
          <w:szCs w:val="26"/>
          <w:lang w:eastAsia="ru-RU" w:bidi="ar-SA"/>
        </w:rPr>
        <w:t>О внесении изменений в постановление Администрации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PT Astra Serif" w:hAnsi="PT Astra Serif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sz w:val="26"/>
          <w:szCs w:val="26"/>
          <w:lang w:eastAsia="ru-RU" w:bidi="ar-SA"/>
        </w:rPr>
        <w:t>Томской области от 27.10.2021 № 444а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lang w:eastAsia="ru-RU" w:bidi="ar-SA"/>
        </w:rPr>
      </w:pP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sz w:val="26"/>
          <w:szCs w:val="26"/>
          <w:lang w:eastAsia="ru-RU" w:bidi="ar-SA"/>
        </w:rPr>
        <w:t>В целях совершенствования нормативного правового акта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sz w:val="26"/>
          <w:szCs w:val="26"/>
          <w:lang w:eastAsia="ru-RU" w:bidi="ar-SA"/>
        </w:rPr>
        <w:t>ПОСТАНОВЛЯЮ: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sz w:val="26"/>
          <w:szCs w:val="26"/>
          <w:lang w:eastAsia="ru-RU" w:bidi="ar-SA"/>
        </w:rPr>
        <w:t>1. Внести в постановление</w:t>
      </w:r>
      <w:r>
        <w:rPr>
          <w:rFonts w:ascii="PT Astra Serif" w:hAnsi="PT Astra Serif"/>
          <w:sz w:val="26"/>
          <w:szCs w:val="26"/>
          <w:lang w:eastAsia="ru-RU" w:bidi="ar-SA"/>
        </w:rPr>
        <w:t xml:space="preserve"> Администрации Томской области </w:t>
      </w:r>
      <w:r w:rsidRPr="002A14E1">
        <w:rPr>
          <w:rFonts w:ascii="PT Astra Serif" w:hAnsi="PT Astra Serif"/>
          <w:sz w:val="26"/>
          <w:szCs w:val="26"/>
          <w:lang w:eastAsia="ru-RU" w:bidi="ar-SA"/>
        </w:rPr>
        <w:t>от 27.10.2021 № 444а «Об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Томской области» («Собрание законодательства Томской области»</w:t>
      </w: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,</w:t>
      </w:r>
      <w:r w:rsidRPr="002A14E1">
        <w:rPr>
          <w:rFonts w:ascii="PT Astra Serif" w:hAnsi="PT Astra Serif"/>
          <w:sz w:val="26"/>
          <w:szCs w:val="26"/>
          <w:lang w:eastAsia="ru-RU" w:bidi="ar-SA"/>
        </w:rPr>
        <w:t xml:space="preserve"> 2021, № 11/1 (278</w:t>
      </w: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), том II) следующие изменения: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1) в Положении </w:t>
      </w:r>
      <w:r w:rsidRPr="002A14E1">
        <w:rPr>
          <w:rFonts w:ascii="PT Astra Serif" w:hAnsi="PT Astra Serif"/>
          <w:sz w:val="26"/>
          <w:szCs w:val="26"/>
          <w:lang w:eastAsia="ru-RU" w:bidi="ar-SA"/>
        </w:rPr>
        <w:t>о 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Томской области, утвержденном указанным постановлением (далее – Положение)</w:t>
      </w: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а) в пункте 4 слова «ведущий специалист - главный государственный инженер-инспектор по городу (району) Инспекции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.» </w:t>
      </w: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исключить;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б) пункты 12, 26 - 27, 36 - 37, 40, 42, 47 - 48, 50 - 51, 53 - 54, 58, 60, 66, 69, 71, 73, 81 изложить в следующей редакции: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«12.</w:t>
      </w:r>
      <w:r w:rsidRPr="002A14E1">
        <w:rPr>
          <w:sz w:val="26"/>
          <w:szCs w:val="20"/>
          <w:lang w:eastAsia="ru-RU" w:bidi="ar-SA"/>
        </w:rPr>
        <w:t xml:space="preserve"> </w:t>
      </w: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В зависимости от присвоенной категории риска периодичность проведения плановых контрольных (надзорных) мероприятий и периодичность проведения обязательных профилактических визитов составляет: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1) для категории высокого риска: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выездная проверка, либо документарная проверка, либо инспекционный визит - один раз в два года, либо один обязательный профилактический визит в год;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2) для категории значительного риска: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выездная проверка, либо документарная проверка, либо инспекционный визит - периодичность проведения определяется Правительством Российской Федерации, в том числе при проведении обязательных профилактических визитов;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3) для категории среднего риска: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выездная проверка либо документарная проверка - периодичность проведения определяется Правительством Российской Федерации, в том числе при проведении обязательных профилактических визитов;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4) для категории низкого риска: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контрольные (надзорные) мероприятия не проводятся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.»;</w:t>
      </w:r>
      <w:proofErr w:type="gramEnd"/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«26. Профилактический визит проводится Инспекцией в соответствии с требованиями статьи 52 Федерального закона № 248-ФЗ.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Профилактический визит проводится в форме профилактической беседы должностным лицом Инспекции по месту осуществления деятельности контролируемого лица либо путем использования видео-конференц-связи или мобильного приложения «Инспектор»,  в следующем порядке:»;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lastRenderedPageBreak/>
        <w:t>«27. Обязательные профилактические визиты проводятся Инспекцией в соответствии с требованиями статьи 52.1.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«36. Организация проведения плановых контрольных (надзорных) мероприятий проводится Инспекцией в соответствии с порядком, установленным статьей 61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«37. Решение о проведении контрольного (надзорного) мероприятия проводится Инспекцией в соответствии с порядком, установленным статьей 64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«40.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 прикладываются к протоколу либо к акту контрольного (надзорного) мероприятия.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Информация о технических средствах, использованных при фотосъемке, аудио- и видеозаписи, иных способах фиксации доказательств указывается в протоколе либо в акте контрольного (надзорного) мероприятия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.»;</w:t>
      </w:r>
      <w:proofErr w:type="gramEnd"/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«42. 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Индивидуальный предприниматель, гражданин, являющиеся контролируемыми лицами, вправе представить в Инспекцию информацию о невозможности присутствия при проведении контрольного (надзорного) мероприятия в случае болезни, нахождения в служебной командировке в другой местности, введения режима функционирования органов управления и сил единой государственной системы предупреждения и ликвидации чрезвычайных ситуаций «повышенная готовность» или «чрезвычайная ситуация» на всей территории Российской Федерации либо на ее части, нахождения на</w:t>
      </w: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 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стационарном лечении в медицинской организации, нахождения за пределами Российской Федерации, административного ареста, наступления непреодолимой силы, препятствующей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запрета определенных действий, заключения под стражу, домашнего</w:t>
      </w: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 ареста.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Указанные в настоящем пункте случаи должны быть подтверждены документально, в 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связи</w:t>
      </w: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 с чем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Инспекцию.»;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«47. Инспекционный визит проводится при наличии оснований, указанных в пунктах 1) - 5), 7), 9)  части 1 статьи 57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«48. Внеплановый инспекционный визит проводится только по согласованию с прокуратурой Томской области, за исключением случаев его проведения в соответствии с пунктами 3), 4), 6), 8) части 1, частью 3 статьи 57 и частью 12 статьи 66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«50. Рейдовый осмотр проводится при наличии оснований, указанных в пунктах 1) – 5), 7), 9) части 1 статьи 57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«51. Рейдовый осмотр проводится только по согласованию с прокуратурой Томской области, за исключением случаев его проведения в соответствии с пунктами 3), 4), 6), 8) части 1, частью 3 статьи 57 и частью 12 статьи 66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«53. Документарная проверка проводится Инспекцией в порядке, установленном статьей 72 Федерального закона № 248-ФЗ.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В ходе документарной проверки могут совершаться следующие контрольные (надзорные) действия:»;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lastRenderedPageBreak/>
        <w:t>«54. Документарная проверка проводится при наличии оснований, указанных в пунктах 1) – 5), 7), 9) части 1 статьи 57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«58. Внеплановая документарная проверка может проводиться только по согласованию с прокуратурой Томской области, за исключением случая ее проведения в соответствии с пунктами 3), 4), 6), 8) части 1 статьи 57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«60. Выездная проверка проводится при наличии оснований, указанных в пунктах 1) – 5), 7), 9) части 1 статьи 57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«66.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1) осмотр;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2) инструментальное обследование (с применением видеозаписи);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3) экспертиза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.»;</w:t>
      </w:r>
      <w:proofErr w:type="gramEnd"/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«69. Внеплановые контрольные (надзорные)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пунктами 1) – 5), 7), 9) части 1 статьи 57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«71. По результатам контрольного (надзорного) мероприятия составляется акт контрольного (надзорного) мероприятия в соответствии со статьей 87 Федерального закона № 248-ФЗ.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Кроме случаев, установленных частью 2 статьи 87 Федерального закона № 248-ФЗ, по результатам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.»;</w:t>
      </w:r>
      <w:proofErr w:type="gramEnd"/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«73. Предписание об устранении выявленных нарушений обязательных требований проводится Инспекцией в порядке, установленном статьей 90.1 Федерального закона № 248-ФЗ.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Предписание об устранении выявленных при проведении контрольного (надзорного) мероприятия нарушений обязательных требований и (или) о проведении мероприятий по предотвращению причинения вреда (ущерба) охраняемым законом ценностям (далее - предписание) должно содержать: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1) дату и номер предписания;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2) дату и номер акта контрольного (надзорного) мероприятия, по результатам проведения которого вынесено предписание;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3) наименование юридического лица, фамилию, имя, отчество (последнее - при наличии) руководителя юридического лица или фамилию, имя, отчество (последнее - при наличии) индивидуального предпринимателя;</w:t>
      </w:r>
      <w:proofErr w:type="gramEnd"/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4)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5) срок устранения выявленного нарушения обязательных требований с указанием конкретной даты;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6) перечень рекомендованных мероприятий по устранению выявленного нарушения обязательных требований;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7)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8) предложение контролируемому лицу направить уведомление об исполнении предписания в Инспекцию и срок для направления уведомления;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9) должность, фамилию и инициалы лица, выдавшего предписание, подпись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.»;</w:t>
      </w:r>
      <w:proofErr w:type="gramEnd"/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lastRenderedPageBreak/>
        <w:t>«81. При осуществлении регионального государственного контроля (надзора) используются следующие индикаторы риска нарушения обязательных требований: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1) наличие информации, полученной с соблюдением требований законодательства Российской Федерации из любых источников, обеспечивающих ее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</w:t>
      </w: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, из обращений контролируемых лиц, иных граждан и организаций, из сообщений средств массовой информации, сведений, содержащихся в информационных ресурсах (далее – информация, собранная в установленном законом порядке), об эксплуатации либо о возможной эксплуатации контролируемым лицом самоходной  машины или других видов техники, не состоящих на государственном учете;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2) наличие информации, собранной в установленном законом порядке, об управлении либо возможном управлении самоходной машиной лицом, не имеющим при себе удостоверения тракториста-машиниста (тракториста) соответствующей категории;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3) наличие информации, собранной в установленном законом порядке, о дорожно-транспортных происшествиях, происшествиях и несчастных случаях с участием самоходных машин и других видов техники;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4) наличие сведений в автоматизированной информационной системе Инспекции о более 20% самоходных машин и других видов техники от общего 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числа</w:t>
      </w: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 состоящих на регистрационном учете за контролируемым лицом самоходных машин и других видов техники, в отношении которых не пройден технический осмотр.»;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в) в подпункте 4) пункта 14 слова «профилактический визит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;»</w:t>
      </w: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 xml:space="preserve"> заменить словами «профилактический визит (обязательный профилактический визит);»;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г) пункты 28, 29, 30, 68 признать утратившими силу;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д) раздел 4 дополнить пунктом 31-1 следующего содержания: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«31-1. Профилактический визит по инициативе контролируемого лица проводится Инспекцией в соответствии с требованиями статьи 52.2. Федерального закона № 248-ФЗ.»;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е) раздел 6 добавить пунктами 48-1, 52-1, 59-1, 67-1 следующего содержания: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«48-1. Инспекционный визит, указанный в части 2 статьи 70 Федерального закона № 248-ФЗ,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52-1.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59-1. Досмотр, опрос,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порядке, предусмотренном частью 5 статьи 77, часть 3 статьи 78, частью 11 статьи 84 Федерального закона № 248-ФЗ.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67-1. По результатам проведения выездного обследования не может быть принято решение, предусмотренное пунктом 2 части 2 статьи 90 Федерального закона № 248-ФЗ, за исключением случаев, установленных федеральным законом о виде контроля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.»;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ж) раздел 7 добавить пунктами 72-1, 73-1, 73-2 следующего содержания: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lastRenderedPageBreak/>
        <w:t>«72-1. Ознакомление с результатами контрольного (надзорного) мероприятия</w:t>
      </w:r>
      <w:r w:rsidRPr="002A14E1">
        <w:rPr>
          <w:sz w:val="26"/>
          <w:szCs w:val="20"/>
          <w:lang w:eastAsia="ru-RU" w:bidi="ar-SA"/>
        </w:rPr>
        <w:t xml:space="preserve"> осуществляется </w:t>
      </w: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в порядке, установленном статьей 88 Федерального закона № 248-ФЗ.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73-1. Соглашение о надлежащем устранении выявленных нарушений обязательных требований</w:t>
      </w:r>
      <w:r w:rsidRPr="002A14E1">
        <w:rPr>
          <w:sz w:val="26"/>
          <w:szCs w:val="20"/>
          <w:lang w:eastAsia="ru-RU" w:bidi="ar-SA"/>
        </w:rPr>
        <w:t xml:space="preserve"> </w:t>
      </w: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осуществляется в порядке, установленном статьей 90.2 Федерального закона № 248-ФЗ.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73-2. По результатам проведения контрольны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х(</w:t>
      </w:r>
      <w:proofErr w:type="gramEnd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надзорных) мероприятий публичная оценка уровня соблюдения обязательных требований не присваивается.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з) раздел 8 добавить пунктом 75-1следующего содержания: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«75-1. Жалоба подлежит рассмотрению уполномоченным на рассмотрение жалобы должностным лицом Инспекции в течение пятнадцати рабочих дней со дня ее регистрации в подсистеме досудебного обжалования.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.».</w:t>
      </w:r>
      <w:proofErr w:type="gramEnd"/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 w:bidi="ar-SA"/>
        </w:rPr>
      </w:pPr>
      <w:r w:rsidRPr="002A14E1">
        <w:rPr>
          <w:rFonts w:ascii="PT Astra Serif" w:hAnsi="PT Astra Serif"/>
          <w:color w:val="000000"/>
          <w:sz w:val="26"/>
          <w:szCs w:val="26"/>
          <w:lang w:eastAsia="ru-RU" w:bidi="ar-SA"/>
        </w:rPr>
        <w:t>2. Настоящее постановление вступает в силу со дня его официального опубликования.</w:t>
      </w:r>
    </w:p>
    <w:p w:rsidR="002A14E1" w:rsidRPr="002A14E1" w:rsidRDefault="002A14E1" w:rsidP="002A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356"/>
        </w:tabs>
        <w:rPr>
          <w:rFonts w:ascii="PT Astra Serif" w:hAnsi="PT Astra Serif"/>
          <w:sz w:val="28"/>
          <w:szCs w:val="28"/>
          <w:lang w:eastAsia="ru-RU" w:bidi="ar-SA"/>
        </w:rPr>
      </w:pPr>
    </w:p>
    <w:p w:rsidR="004E160E" w:rsidRPr="009B662E" w:rsidRDefault="004E160E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B4623" w:rsidRPr="009B662E" w:rsidRDefault="00FB4623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382"/>
        <w:gridCol w:w="2766"/>
      </w:tblGrid>
      <w:tr w:rsidR="006D0F99" w:rsidRPr="009B662E" w:rsidTr="00E12518">
        <w:trPr>
          <w:trHeight w:val="267"/>
        </w:trPr>
        <w:tc>
          <w:tcPr>
            <w:tcW w:w="3694" w:type="dxa"/>
            <w:shd w:val="clear" w:color="FFFFFF" w:fill="FFFFFF"/>
            <w:vAlign w:val="center"/>
          </w:tcPr>
          <w:p w:rsidR="006D0F99" w:rsidRPr="009B662E" w:rsidRDefault="00AE37CC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Губернатор Томской области</w:t>
            </w:r>
          </w:p>
        </w:tc>
        <w:tc>
          <w:tcPr>
            <w:tcW w:w="3382" w:type="dxa"/>
            <w:shd w:val="clear" w:color="FFFFFF" w:fill="FFFFFF"/>
            <w:vAlign w:val="center"/>
          </w:tcPr>
          <w:p w:rsidR="006D0F99" w:rsidRPr="009B662E" w:rsidRDefault="008A338B" w:rsidP="002A0DE4">
            <w:pPr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&lt;Штамп ЭП&gt;</w:t>
            </w:r>
            <w:r w:rsidRPr="009B662E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2766" w:type="dxa"/>
            <w:shd w:val="clear" w:color="FFFFFF" w:fill="FFFFFF"/>
            <w:vAlign w:val="center"/>
          </w:tcPr>
          <w:p w:rsidR="006D0F99" w:rsidRPr="009B662E" w:rsidRDefault="00AE37CC">
            <w:pPr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Мазур</w:t>
            </w:r>
            <w:proofErr w:type="spellEnd"/>
          </w:p>
        </w:tc>
      </w:tr>
    </w:tbl>
    <w:p w:rsidR="00FB4623" w:rsidRDefault="00FB4623" w:rsidP="00510BF9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 w:rsidP="007503E2">
      <w:pPr>
        <w:contextualSpacing/>
        <w:rPr>
          <w:rFonts w:ascii="PT Astra Serif" w:hAnsi="PT Astra Serif"/>
          <w:sz w:val="18"/>
          <w:szCs w:val="18"/>
        </w:rPr>
      </w:pPr>
    </w:p>
    <w:p w:rsidR="00713F3A" w:rsidRDefault="00713F3A">
      <w:pPr>
        <w:contextualSpacing/>
        <w:rPr>
          <w:rFonts w:ascii="PT Astra Serif" w:hAnsi="PT Astra Serif"/>
          <w:sz w:val="18"/>
          <w:szCs w:val="18"/>
        </w:rPr>
      </w:pPr>
    </w:p>
    <w:p w:rsidR="002A14E1" w:rsidRDefault="002A14E1">
      <w:pPr>
        <w:contextualSpacing/>
        <w:rPr>
          <w:rFonts w:ascii="PT Astra Serif" w:hAnsi="PT Astra Serif"/>
          <w:sz w:val="18"/>
          <w:szCs w:val="18"/>
        </w:rPr>
      </w:pPr>
    </w:p>
    <w:p w:rsidR="002A14E1" w:rsidRPr="00713F3A" w:rsidRDefault="002A14E1">
      <w:pPr>
        <w:contextualSpacing/>
        <w:rPr>
          <w:rFonts w:ascii="PT Astra Serif" w:hAnsi="PT Astra Serif"/>
          <w:sz w:val="18"/>
          <w:szCs w:val="18"/>
        </w:rPr>
      </w:pPr>
      <w:bookmarkStart w:id="0" w:name="_GoBack"/>
      <w:bookmarkEnd w:id="0"/>
    </w:p>
    <w:sectPr w:rsidR="002A14E1" w:rsidRPr="00713F3A" w:rsidSect="004E160E">
      <w:headerReference w:type="default" r:id="rId8"/>
      <w:headerReference w:type="first" r:id="rId9"/>
      <w:pgSz w:w="11907" w:h="16840"/>
      <w:pgMar w:top="425" w:right="567" w:bottom="567" w:left="1418" w:header="73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DA" w:rsidRDefault="009F41DA">
      <w:r>
        <w:separator/>
      </w:r>
    </w:p>
  </w:endnote>
  <w:endnote w:type="continuationSeparator" w:id="0">
    <w:p w:rsidR="009F41DA" w:rsidRDefault="009F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00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DA" w:rsidRDefault="009F41DA">
      <w:r>
        <w:separator/>
      </w:r>
    </w:p>
  </w:footnote>
  <w:footnote w:type="continuationSeparator" w:id="0">
    <w:p w:rsidR="009F41DA" w:rsidRDefault="009F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E2" w:rsidRPr="003972AE" w:rsidRDefault="003972AE" w:rsidP="003972AE">
    <w:pPr>
      <w:pStyle w:val="af"/>
      <w:spacing w:before="0" w:after="0"/>
      <w:rPr>
        <w:rFonts w:ascii="PT Astra Serif" w:hAnsi="PT Astra Serif" w:cs="PT Astra Serif"/>
        <w:b w:val="0"/>
        <w:sz w:val="26"/>
        <w:szCs w:val="26"/>
      </w:rPr>
    </w:pPr>
    <w:r w:rsidRPr="003972AE">
      <w:rPr>
        <w:rFonts w:ascii="PT Astra Serif" w:hAnsi="PT Astra Serif" w:cs="PT Astra Serif"/>
        <w:b w:val="0"/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8B" w:rsidRDefault="008A338B">
    <w:pPr>
      <w:spacing w:after="120"/>
      <w:jc w:val="center"/>
      <w:rPr>
        <w:rFonts w:ascii="PT Astra Serif" w:hAnsi="PT Astra Serif" w:cs="PT Astra Serif"/>
        <w:b/>
        <w:sz w:val="12"/>
        <w:szCs w:val="12"/>
      </w:rPr>
    </w:pPr>
    <w:r>
      <w:rPr>
        <w:rFonts w:ascii="PT Astra Serif" w:hAnsi="PT Astra Serif"/>
        <w:noProof/>
        <w:lang w:eastAsia="ru-RU" w:bidi="ar-SA"/>
      </w:rPr>
      <w:drawing>
        <wp:inline distT="0" distB="0" distL="0" distR="0">
          <wp:extent cx="771525" cy="719455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32837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7210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38B" w:rsidRPr="008A338B" w:rsidRDefault="0022350D">
    <w:pPr>
      <w:pStyle w:val="af"/>
      <w:spacing w:before="0" w:after="0" w:line="360" w:lineRule="exact"/>
      <w:rPr>
        <w:rFonts w:ascii="PT Astra Serif" w:hAnsi="PT Astra Serif" w:cs="PT Astra Serif"/>
        <w:sz w:val="30"/>
        <w:szCs w:val="30"/>
      </w:rPr>
    </w:pPr>
    <w:r>
      <w:rPr>
        <w:rFonts w:ascii="PT Astra Serif" w:hAnsi="PT Astra Serif"/>
        <w:sz w:val="30"/>
        <w:szCs w:val="30"/>
      </w:rPr>
      <w:t>АДМИНИСТРАЦИЯ ТОМСКОЙ ОБЛАСТИ</w:t>
    </w:r>
  </w:p>
  <w:p w:rsidR="008A338B" w:rsidRPr="008A338B" w:rsidRDefault="0022350D" w:rsidP="008A338B">
    <w:pPr>
      <w:pStyle w:val="af"/>
      <w:spacing w:before="480" w:after="0"/>
      <w:rPr>
        <w:rFonts w:ascii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ПОСТАНОВЛЕНИЕ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202"/>
    <w:multiLevelType w:val="hybridMultilevel"/>
    <w:tmpl w:val="D83E39B6"/>
    <w:lvl w:ilvl="0" w:tplc="6172E2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304B8"/>
    <w:multiLevelType w:val="hybridMultilevel"/>
    <w:tmpl w:val="62F4804C"/>
    <w:lvl w:ilvl="0" w:tplc="110A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520B5"/>
    <w:multiLevelType w:val="multilevel"/>
    <w:tmpl w:val="805E2FF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66" w:hanging="11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99"/>
    <w:rsid w:val="00016817"/>
    <w:rsid w:val="000323F4"/>
    <w:rsid w:val="000F0763"/>
    <w:rsid w:val="000F2C7F"/>
    <w:rsid w:val="00103119"/>
    <w:rsid w:val="0010630B"/>
    <w:rsid w:val="00156ACE"/>
    <w:rsid w:val="001812D5"/>
    <w:rsid w:val="001A18A0"/>
    <w:rsid w:val="001A35BD"/>
    <w:rsid w:val="001D4EBE"/>
    <w:rsid w:val="001F1285"/>
    <w:rsid w:val="00211AA1"/>
    <w:rsid w:val="002175F2"/>
    <w:rsid w:val="0022350D"/>
    <w:rsid w:val="00227F7B"/>
    <w:rsid w:val="00232A1B"/>
    <w:rsid w:val="00254268"/>
    <w:rsid w:val="00263E39"/>
    <w:rsid w:val="00275F05"/>
    <w:rsid w:val="00284516"/>
    <w:rsid w:val="00287B7F"/>
    <w:rsid w:val="002A0DE4"/>
    <w:rsid w:val="002A14E1"/>
    <w:rsid w:val="002A7A9C"/>
    <w:rsid w:val="002F5A92"/>
    <w:rsid w:val="00356186"/>
    <w:rsid w:val="003972AE"/>
    <w:rsid w:val="003E754B"/>
    <w:rsid w:val="0040069C"/>
    <w:rsid w:val="0041177E"/>
    <w:rsid w:val="004155B9"/>
    <w:rsid w:val="0045471A"/>
    <w:rsid w:val="00457AF3"/>
    <w:rsid w:val="00471F77"/>
    <w:rsid w:val="00494258"/>
    <w:rsid w:val="0049538A"/>
    <w:rsid w:val="00495BC8"/>
    <w:rsid w:val="004C5D30"/>
    <w:rsid w:val="004D7E76"/>
    <w:rsid w:val="004E160E"/>
    <w:rsid w:val="00510BF9"/>
    <w:rsid w:val="00513F52"/>
    <w:rsid w:val="00533B88"/>
    <w:rsid w:val="005F7182"/>
    <w:rsid w:val="006C4F33"/>
    <w:rsid w:val="006D0F99"/>
    <w:rsid w:val="00713F3A"/>
    <w:rsid w:val="00717A23"/>
    <w:rsid w:val="00720816"/>
    <w:rsid w:val="0073144D"/>
    <w:rsid w:val="007503E2"/>
    <w:rsid w:val="00751CD4"/>
    <w:rsid w:val="0077180A"/>
    <w:rsid w:val="00773542"/>
    <w:rsid w:val="007B34B3"/>
    <w:rsid w:val="00813C11"/>
    <w:rsid w:val="00897350"/>
    <w:rsid w:val="008A31D5"/>
    <w:rsid w:val="008A338B"/>
    <w:rsid w:val="008B0B36"/>
    <w:rsid w:val="008E4D25"/>
    <w:rsid w:val="00923AE0"/>
    <w:rsid w:val="00923E72"/>
    <w:rsid w:val="00962F2D"/>
    <w:rsid w:val="009B662E"/>
    <w:rsid w:val="009F3A1D"/>
    <w:rsid w:val="009F41DA"/>
    <w:rsid w:val="00A14A9A"/>
    <w:rsid w:val="00A55F43"/>
    <w:rsid w:val="00A97A92"/>
    <w:rsid w:val="00AA0420"/>
    <w:rsid w:val="00AB1687"/>
    <w:rsid w:val="00AC34A9"/>
    <w:rsid w:val="00AE0AAD"/>
    <w:rsid w:val="00AE37CC"/>
    <w:rsid w:val="00B00458"/>
    <w:rsid w:val="00B30AC3"/>
    <w:rsid w:val="00B365C8"/>
    <w:rsid w:val="00B378BC"/>
    <w:rsid w:val="00B50975"/>
    <w:rsid w:val="00B57F74"/>
    <w:rsid w:val="00B81986"/>
    <w:rsid w:val="00BA2DD7"/>
    <w:rsid w:val="00BF60F5"/>
    <w:rsid w:val="00C444E2"/>
    <w:rsid w:val="00C747C4"/>
    <w:rsid w:val="00C74D8A"/>
    <w:rsid w:val="00C83B6F"/>
    <w:rsid w:val="00CC28C5"/>
    <w:rsid w:val="00D7071A"/>
    <w:rsid w:val="00D756F7"/>
    <w:rsid w:val="00DA390F"/>
    <w:rsid w:val="00DD7B6D"/>
    <w:rsid w:val="00DE3239"/>
    <w:rsid w:val="00E12518"/>
    <w:rsid w:val="00E16931"/>
    <w:rsid w:val="00E44360"/>
    <w:rsid w:val="00F228BF"/>
    <w:rsid w:val="00F57D0B"/>
    <w:rsid w:val="00FA066A"/>
    <w:rsid w:val="00FB4623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/>
    </w:rPr>
  </w:style>
  <w:style w:type="character" w:customStyle="1" w:styleId="apple-style-span">
    <w:name w:val="apple-style-span"/>
  </w:style>
  <w:style w:type="character" w:customStyle="1" w:styleId="pagesindoccount">
    <w:name w:val="pagesindoccount"/>
    <w:rsid w:val="00AE0AAD"/>
  </w:style>
  <w:style w:type="paragraph" w:customStyle="1" w:styleId="Default">
    <w:name w:val="Default"/>
    <w:rsid w:val="00AE0AAD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styleId="aff3">
    <w:name w:val="Revision"/>
    <w:hidden/>
    <w:uiPriority w:val="99"/>
    <w:semiHidden/>
    <w:rsid w:val="00C747C4"/>
    <w:rPr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/>
    </w:rPr>
  </w:style>
  <w:style w:type="character" w:customStyle="1" w:styleId="apple-style-span">
    <w:name w:val="apple-style-span"/>
  </w:style>
  <w:style w:type="character" w:customStyle="1" w:styleId="pagesindoccount">
    <w:name w:val="pagesindoccount"/>
    <w:rsid w:val="00AE0AAD"/>
  </w:style>
  <w:style w:type="paragraph" w:customStyle="1" w:styleId="Default">
    <w:name w:val="Default"/>
    <w:rsid w:val="00AE0AAD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styleId="aff3">
    <w:name w:val="Revision"/>
    <w:hidden/>
    <w:uiPriority w:val="99"/>
    <w:semiHidden/>
    <w:rsid w:val="00C747C4"/>
    <w:rPr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Залевская</cp:lastModifiedBy>
  <cp:revision>7</cp:revision>
  <cp:lastPrinted>2025-01-30T05:48:00Z</cp:lastPrinted>
  <dcterms:created xsi:type="dcterms:W3CDTF">2025-01-29T05:35:00Z</dcterms:created>
  <dcterms:modified xsi:type="dcterms:W3CDTF">2025-02-12T05:28:00Z</dcterms:modified>
</cp:coreProperties>
</file>