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uppressLineNumbers w:val="0"/>
        <w:spacing w:after="0" w:afterAutospacing="0"/>
        <w:ind w:firstLine="709"/>
        <w:jc w:val="center"/>
        <w:rPr>
          <w:rFonts w:ascii="PT Astra Serif" w:hAnsi="PT Astra Serif" w:cs="PT Astra Serif"/>
          <w:b/>
          <w:bCs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</w:r>
      <w:bookmarkStart w:id="0" w:name="_GoBack"/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</w:r>
      <w:bookmarkEnd w:id="0"/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  <w:t xml:space="preserve">Перечень вопросов для участников публичных консультаций</w:t>
      </w:r>
      <w:r>
        <w:rPr>
          <w:rFonts w:ascii="PT Astra Serif" w:hAnsi="PT Astra Serif" w:cs="PT Astra Serif"/>
          <w:b/>
          <w:bCs/>
          <w:color w:val="000000" w:themeColor="text1"/>
          <w:sz w:val="26"/>
          <w:szCs w:val="26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Актуальна ли сегодня заявленная разработчиком проекта нормативного правового акта Томской области (далее - проект акта) проблема?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Каких положительных эффектов следует ожидать в случае принятия проекта акта? По возможности приведите числовые данные.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Содержит ли проект акта нормы, невыполнимые на практике? Если да, укажите их.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31"/>
        <w:numPr>
          <w:numId w:val="1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Иные предложения и замечания, которые целесообразно учесть в рамках оценки регулирующего воздействия.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suppressLineNumbers w:val="0"/>
        <w:spacing w:after="0" w:afterAutospacing="0"/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sectPr>
      <w:footnotePr/>
      <w:endnotePr/>
      <w:type w:val="nextPage"/>
      <w:pgSz w:w="11905" w:h="16838" w:orient="portrait"/>
      <w:pgMar w:top="1134" w:right="567" w:bottom="1134" w:left="99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Calibri" w:cs="Times New Roman"/>
      <w:sz w:val="26"/>
      <w:szCs w:val="26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622" w:customStyle="1">
    <w:name w:val="ConsPlusNonformat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ДТРГЗ Томской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Арифович Гулиев</dc:creator>
  <cp:lastModifiedBy>myshlanovams</cp:lastModifiedBy>
  <cp:revision>3</cp:revision>
  <dcterms:created xsi:type="dcterms:W3CDTF">2025-02-12T03:36:00Z</dcterms:created>
  <dcterms:modified xsi:type="dcterms:W3CDTF">2025-05-16T05:02:01Z</dcterms:modified>
</cp:coreProperties>
</file>