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80" w:rsidRDefault="00635880" w:rsidP="001465B8">
      <w:pPr>
        <w:pStyle w:val="21"/>
        <w:shd w:val="clear" w:color="auto" w:fill="auto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  <w:bCs/>
        </w:rPr>
      </w:pPr>
    </w:p>
    <w:p w:rsidR="00635880" w:rsidRDefault="00635880" w:rsidP="001465B8">
      <w:pPr>
        <w:pStyle w:val="21"/>
        <w:shd w:val="clear" w:color="auto" w:fill="auto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  <w:bCs/>
        </w:rPr>
      </w:pPr>
    </w:p>
    <w:p w:rsidR="00A3515B" w:rsidRPr="00AF121A" w:rsidRDefault="00194194" w:rsidP="001465B8">
      <w:pPr>
        <w:pStyle w:val="21"/>
        <w:shd w:val="clear" w:color="auto" w:fill="auto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  <w:bCs/>
        </w:rPr>
      </w:pPr>
      <w:r>
        <w:rPr>
          <w:rStyle w:val="22"/>
          <w:rFonts w:ascii="PT Astra Serif" w:hAnsi="PT Astra Serif"/>
          <w:b/>
          <w:bCs/>
        </w:rPr>
        <w:t>И</w:t>
      </w:r>
      <w:r w:rsidR="00A3515B" w:rsidRPr="00AF121A">
        <w:rPr>
          <w:rStyle w:val="22"/>
          <w:rFonts w:ascii="PT Astra Serif" w:hAnsi="PT Astra Serif"/>
          <w:b/>
          <w:bCs/>
        </w:rPr>
        <w:t>нформаци</w:t>
      </w:r>
      <w:r>
        <w:rPr>
          <w:rStyle w:val="22"/>
          <w:rFonts w:ascii="PT Astra Serif" w:hAnsi="PT Astra Serif"/>
          <w:b/>
          <w:bCs/>
        </w:rPr>
        <w:t>я</w:t>
      </w:r>
      <w:r w:rsidR="00A3515B" w:rsidRPr="00AF121A">
        <w:rPr>
          <w:rStyle w:val="22"/>
          <w:rFonts w:ascii="PT Astra Serif" w:hAnsi="PT Astra Serif"/>
          <w:b/>
          <w:bCs/>
        </w:rPr>
        <w:t xml:space="preserve"> для формирования рейтинга качества </w:t>
      </w:r>
    </w:p>
    <w:p w:rsidR="00107D0B" w:rsidRPr="00107D0B" w:rsidRDefault="00A3515B" w:rsidP="00107D0B">
      <w:pPr>
        <w:pStyle w:val="21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</w:rPr>
      </w:pPr>
      <w:r w:rsidRPr="00AF121A">
        <w:rPr>
          <w:rStyle w:val="22"/>
          <w:rFonts w:ascii="PT Astra Serif" w:hAnsi="PT Astra Serif"/>
          <w:b/>
        </w:rPr>
        <w:t xml:space="preserve">осуществления ОРВ и экспертизы </w:t>
      </w:r>
      <w:r w:rsidR="00107D0B" w:rsidRPr="00107D0B">
        <w:rPr>
          <w:rStyle w:val="22"/>
          <w:rFonts w:ascii="PT Astra Serif" w:hAnsi="PT Astra Serif"/>
          <w:b/>
        </w:rPr>
        <w:t xml:space="preserve">в муниципальных </w:t>
      </w:r>
      <w:r w:rsidR="00BA1B84">
        <w:rPr>
          <w:rStyle w:val="22"/>
          <w:rFonts w:ascii="PT Astra Serif" w:hAnsi="PT Astra Serif"/>
          <w:b/>
        </w:rPr>
        <w:t>районах и городских округах</w:t>
      </w:r>
      <w:bookmarkStart w:id="0" w:name="_GoBack"/>
      <w:bookmarkEnd w:id="0"/>
    </w:p>
    <w:p w:rsidR="00A3515B" w:rsidRDefault="00107D0B" w:rsidP="00107D0B">
      <w:pPr>
        <w:pStyle w:val="21"/>
        <w:shd w:val="clear" w:color="auto" w:fill="auto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</w:rPr>
      </w:pPr>
      <w:r w:rsidRPr="00107D0B">
        <w:rPr>
          <w:rStyle w:val="22"/>
          <w:rFonts w:ascii="PT Astra Serif" w:hAnsi="PT Astra Serif"/>
          <w:b/>
        </w:rPr>
        <w:t xml:space="preserve">Томской области </w:t>
      </w:r>
      <w:r w:rsidR="00194194">
        <w:rPr>
          <w:rStyle w:val="22"/>
          <w:rFonts w:ascii="PT Astra Serif" w:hAnsi="PT Astra Serif"/>
          <w:b/>
        </w:rPr>
        <w:t>за 202</w:t>
      </w:r>
      <w:r w:rsidR="00D51C45">
        <w:rPr>
          <w:rStyle w:val="22"/>
          <w:rFonts w:ascii="PT Astra Serif" w:hAnsi="PT Astra Serif"/>
          <w:b/>
        </w:rPr>
        <w:t>5</w:t>
      </w:r>
      <w:r w:rsidR="00194194">
        <w:rPr>
          <w:rStyle w:val="22"/>
          <w:rFonts w:ascii="PT Astra Serif" w:hAnsi="PT Astra Serif"/>
          <w:b/>
        </w:rPr>
        <w:t xml:space="preserve"> год</w:t>
      </w:r>
    </w:p>
    <w:p w:rsidR="00194194" w:rsidRPr="00AF121A" w:rsidRDefault="00194194" w:rsidP="001465B8">
      <w:pPr>
        <w:pStyle w:val="21"/>
        <w:shd w:val="clear" w:color="auto" w:fill="auto"/>
        <w:tabs>
          <w:tab w:val="left" w:leader="underscore" w:pos="4073"/>
          <w:tab w:val="left" w:leader="underscore" w:pos="13178"/>
        </w:tabs>
        <w:spacing w:line="240" w:lineRule="auto"/>
        <w:jc w:val="center"/>
        <w:rPr>
          <w:rStyle w:val="22"/>
          <w:rFonts w:ascii="PT Astra Serif" w:hAnsi="PT Astra Serif"/>
          <w:b/>
          <w:bCs/>
        </w:rPr>
      </w:pPr>
    </w:p>
    <w:tbl>
      <w:tblPr>
        <w:tblW w:w="68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7"/>
        <w:gridCol w:w="66"/>
        <w:gridCol w:w="6036"/>
        <w:gridCol w:w="1203"/>
        <w:gridCol w:w="27"/>
        <w:gridCol w:w="1845"/>
        <w:gridCol w:w="1843"/>
        <w:gridCol w:w="1837"/>
      </w:tblGrid>
      <w:tr w:rsidR="001465B8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B8" w:rsidRPr="00AF121A" w:rsidRDefault="001465B8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Общие сведения</w:t>
            </w:r>
          </w:p>
        </w:tc>
      </w:tr>
      <w:tr w:rsidR="00A3515B" w:rsidRPr="00AF121A" w:rsidTr="00754A0F">
        <w:trPr>
          <w:gridAfter w:val="2"/>
          <w:wAfter w:w="1340" w:type="pct"/>
        </w:trPr>
        <w:tc>
          <w:tcPr>
            <w:tcW w:w="2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5B" w:rsidRPr="00AF121A" w:rsidRDefault="00A3515B" w:rsidP="00A3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5B" w:rsidRPr="00AF121A" w:rsidRDefault="00A3515B" w:rsidP="00A3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Дата составления</w:t>
            </w:r>
          </w:p>
        </w:tc>
      </w:tr>
      <w:tr w:rsidR="00A3515B" w:rsidRPr="00AF121A" w:rsidTr="00754A0F">
        <w:trPr>
          <w:gridAfter w:val="2"/>
          <w:wAfter w:w="1340" w:type="pct"/>
        </w:trPr>
        <w:tc>
          <w:tcPr>
            <w:tcW w:w="2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5B" w:rsidRPr="00AF121A" w:rsidRDefault="00A3515B" w:rsidP="00D6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5B" w:rsidRPr="00AF121A" w:rsidRDefault="00A3515B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465B8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B8" w:rsidRPr="00AF121A" w:rsidRDefault="001465B8" w:rsidP="009D6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I. </w:t>
            </w:r>
            <w:r w:rsidR="006D040C"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>Н</w:t>
            </w:r>
            <w:r w:rsidR="00D2472A"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>ормативное</w:t>
            </w:r>
            <w:r w:rsidR="009D6A62"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правовое </w:t>
            </w:r>
            <w:r w:rsidR="00D2472A"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>закрепление процедур ОРВ</w:t>
            </w:r>
            <w:r w:rsidR="008B351B" w:rsidRPr="00AF121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и экспертизы</w:t>
            </w:r>
          </w:p>
        </w:tc>
      </w:tr>
      <w:tr w:rsidR="008E4219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19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9" w:rsidRPr="00AF121A" w:rsidRDefault="008E4219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Утвержден муниципальный НПА, устанавливающий порядок проведения ОРВ проектов муниципальных НПА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9" w:rsidRPr="00AF121A" w:rsidRDefault="008E4219" w:rsidP="009D6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8E4219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9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8E4219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(реквизиты муниципального НПА, регламентирующего проведение процедуры ОРВ)</w:t>
            </w:r>
          </w:p>
        </w:tc>
      </w:tr>
      <w:tr w:rsidR="006C1769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0C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C" w:rsidRPr="00AF121A" w:rsidRDefault="008E4219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Нормативно закреплено проведение ОРВ проектов муниципальных НПА в установленной предметной области, разработчиками которых являются структурные подразделения администрации муниципального образования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0C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6D040C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C" w:rsidRPr="00AF121A" w:rsidRDefault="006D040C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6D040C" w:rsidRPr="00AF121A" w:rsidRDefault="006D040C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</w:t>
            </w:r>
            <w:r w:rsidR="008E4219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положения </w:t>
            </w:r>
            <w:r w:rsidR="009D6A62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муниципального НПА, регламентирующего проведение процедуры ОРВ)</w:t>
            </w:r>
          </w:p>
        </w:tc>
      </w:tr>
      <w:tr w:rsidR="006D040C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0C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1.3.</w:t>
            </w: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0C" w:rsidRPr="00AF121A" w:rsidRDefault="008E4219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Нормативно закреплено проведение ОРВ проектов муниципальных НПА в установленной предметной области, вносимых представительным органом муниципального образования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0C" w:rsidRPr="00AF121A" w:rsidRDefault="006D040C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6D040C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9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6D040C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(положения муниципального НПА, регламентирующего проведение процедуры ОРВ)</w:t>
            </w:r>
          </w:p>
        </w:tc>
      </w:tr>
      <w:tr w:rsidR="00F034BD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BD" w:rsidRPr="00AF121A" w:rsidRDefault="008E4219" w:rsidP="008E42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1.4.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Нормативно закреплена процедура урегулирования разногласий, выявленных в ходе проведения ОРВ проектов муниципальных НПА:</w:t>
            </w:r>
          </w:p>
        </w:tc>
      </w:tr>
      <w:tr w:rsidR="00F034BD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 xml:space="preserve">- разработчиком которых являются </w:t>
            </w:r>
            <w:r w:rsidR="003548FD"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структурные подразделения администрации муниципального образования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F034BD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FD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F034BD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(положения муниципального НПА, регламентирующего проведение процедуры ОРВ)</w:t>
            </w:r>
          </w:p>
        </w:tc>
      </w:tr>
      <w:tr w:rsidR="00F034BD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- разработчиком которых является представительный орган муниципального образования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BD" w:rsidRPr="00AF121A" w:rsidRDefault="00F034BD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F034BD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FD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F034BD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(положения муниципального НПА, регламентирующего проведение процедуры ОРВ)</w:t>
            </w:r>
          </w:p>
        </w:tc>
      </w:tr>
      <w:tr w:rsidR="006C1769" w:rsidRPr="00AF121A" w:rsidTr="00754A0F">
        <w:trPr>
          <w:gridAfter w:val="2"/>
          <w:wAfter w:w="1340" w:type="pct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69" w:rsidRPr="00AF121A" w:rsidRDefault="006C1769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3548FD" w:rsidRPr="00AF121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F121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69" w:rsidRPr="00AF121A" w:rsidRDefault="008B351B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При проведении ОРВ учитывается степень регулирующего воздействия проектов муниципальных НПА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69" w:rsidRPr="00AF121A" w:rsidRDefault="006C1769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6C1769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FD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6C1769" w:rsidRPr="00AF121A" w:rsidRDefault="003548FD" w:rsidP="00354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(положения муниципального НПА, регламентирующего проведение процедуры ОРВ)</w:t>
            </w:r>
          </w:p>
        </w:tc>
      </w:tr>
      <w:tr w:rsidR="008B351B" w:rsidRPr="00AF121A" w:rsidTr="00754A0F">
        <w:trPr>
          <w:gridAfter w:val="2"/>
          <w:wAfter w:w="1340" w:type="pct"/>
        </w:trPr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1B" w:rsidRPr="00AF121A" w:rsidRDefault="008263C3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1.6</w:t>
            </w:r>
            <w:r w:rsidR="008B351B" w:rsidRPr="00AF121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1B" w:rsidRPr="00AF121A" w:rsidRDefault="008263C3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Утвержден муниципальный НПА, устанавливающий порядок проведения экспертизы муниципальных 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1B" w:rsidRPr="00AF121A" w:rsidRDefault="008263C3" w:rsidP="0082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8263C3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AF121A" w:rsidRDefault="008263C3" w:rsidP="0082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lastRenderedPageBreak/>
              <w:t>________________________________________________________________________________________</w:t>
            </w:r>
          </w:p>
          <w:p w:rsidR="008263C3" w:rsidRPr="00AF121A" w:rsidRDefault="008263C3" w:rsidP="0082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(реквизиты муниципального НПА, регламентирующего проведение процедуры экспертизы)</w:t>
            </w:r>
          </w:p>
        </w:tc>
      </w:tr>
      <w:tr w:rsidR="008263C3" w:rsidRPr="00AF121A" w:rsidTr="00754A0F">
        <w:trPr>
          <w:gridAfter w:val="2"/>
          <w:wAfter w:w="1340" w:type="pct"/>
        </w:trPr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AF121A" w:rsidRDefault="008263C3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1.7.</w:t>
            </w: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AF121A" w:rsidRDefault="008263C3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Утверждены формы документов, необходимых для проведения ОРВ и экспертизы в муниципальном образовании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C3" w:rsidRPr="00AF121A" w:rsidRDefault="008263C3" w:rsidP="0082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8263C3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3" w:rsidRPr="00AF121A" w:rsidRDefault="008263C3" w:rsidP="0082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8263C3" w:rsidRPr="00AF121A" w:rsidRDefault="008263C3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(положения муниципального НПА, </w:t>
            </w:r>
            <w:r w:rsidR="00EA6E44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утверждающего </w:t>
            </w:r>
            <w:r w:rsidR="0021780B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типовые </w:t>
            </w:r>
            <w:r w:rsidR="00EA6E44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формы документов</w:t>
            </w: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)</w:t>
            </w:r>
          </w:p>
        </w:tc>
      </w:tr>
      <w:tr w:rsidR="009D6A62" w:rsidRPr="00AF121A" w:rsidTr="00754A0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62" w:rsidRPr="00825F4A" w:rsidRDefault="00EA6E44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825F4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="0067586C" w:rsidRPr="00825F4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5F4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Практический опыт проведения процедуры ОРВ и экспертизы</w:t>
            </w:r>
          </w:p>
        </w:tc>
      </w:tr>
      <w:tr w:rsidR="00EA6E44" w:rsidRPr="00AF121A" w:rsidTr="00754A0F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4" w:rsidRPr="00AF121A" w:rsidRDefault="00064E4E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2.1</w:t>
            </w:r>
            <w:r w:rsidR="00EA6E44"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44" w:rsidRPr="00AF121A" w:rsidRDefault="0008529D" w:rsidP="00754A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На систематической основе проводится ОРВ проектов муниципальных НПА:</w:t>
            </w:r>
          </w:p>
        </w:tc>
      </w:tr>
      <w:tr w:rsidR="00754A0F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общее количество заключений об ОРВ проектов муниципальных НПА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754A0F">
            <w:pPr>
              <w:spacing w:after="0"/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положительных заключений об ОРВ проектов муниципальных НПА, разработчиками которых являются структурные подразделения администрации муниципального образования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754A0F">
            <w:pPr>
              <w:spacing w:after="0"/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положительных заключений об ОРВ проектов муниципальных НПА, разработчиком которых является представительный орган муниципального образования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754A0F">
            <w:pPr>
              <w:spacing w:after="0"/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 xml:space="preserve">– количество отрицательных заключений об ОРВ проектов муниципальных НПА, разработчиками которых являются структурные подразделения администрации муниципального образования </w:t>
            </w:r>
          </w:p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</w:t>
            </w:r>
          </w:p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материалов в информационно-телекоммуникационной сети «Интернет»)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754A0F">
            <w:pPr>
              <w:spacing w:after="0"/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отрицательных заключений об ОРВ проектов муниципальных НПА, разработчиком которых является представительный орган муниципального образования</w:t>
            </w:r>
          </w:p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</w:t>
            </w:r>
          </w:p>
          <w:p w:rsidR="00754A0F" w:rsidRPr="00AF121A" w:rsidRDefault="00754A0F" w:rsidP="00064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материалов в информационно-телекоммуникационной сети «Интернет»)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754A0F">
            <w:pPr>
              <w:spacing w:after="0"/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C0655B">
        <w:trPr>
          <w:trHeight w:val="242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762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На систематической основе проводится экспертиза муниципальных НПА:</w:t>
            </w:r>
          </w:p>
        </w:tc>
        <w:tc>
          <w:tcPr>
            <w:tcW w:w="671" w:type="pct"/>
          </w:tcPr>
          <w:p w:rsidR="00754A0F" w:rsidRPr="00AF121A" w:rsidRDefault="00754A0F">
            <w:pPr>
              <w:rPr>
                <w:rFonts w:ascii="PT Astra Serif" w:hAnsi="PT Astra Serif"/>
              </w:rPr>
            </w:pPr>
          </w:p>
        </w:tc>
        <w:tc>
          <w:tcPr>
            <w:tcW w:w="669" w:type="pct"/>
          </w:tcPr>
          <w:p w:rsidR="00754A0F" w:rsidRPr="00AF121A" w:rsidRDefault="00754A0F" w:rsidP="00EB50DA">
            <w:pPr>
              <w:spacing w:line="274" w:lineRule="exact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указать число</w:t>
            </w:r>
          </w:p>
        </w:tc>
      </w:tr>
      <w:tr w:rsidR="00064E4E" w:rsidRPr="00AF121A" w:rsidTr="00754A0F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4E" w:rsidRPr="00AF121A" w:rsidRDefault="00064E4E" w:rsidP="00EA6E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7625A">
            <w:pPr>
              <w:spacing w:after="0" w:line="240" w:lineRule="auto"/>
              <w:ind w:firstLine="380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муниципальных НПА, включенных в План (Перечень) муниципальных НПА, в отношении которых проводится экспертиза на соответствующий год</w:t>
            </w:r>
          </w:p>
          <w:p w:rsidR="00754A0F" w:rsidRPr="00AF121A" w:rsidRDefault="00754A0F" w:rsidP="000762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</w:t>
            </w:r>
          </w:p>
          <w:p w:rsidR="00064E4E" w:rsidRPr="00AF121A" w:rsidRDefault="00754A0F" w:rsidP="000762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реквизиты муниципального НПА, утверждающего План (Перечень) и адрес его размещения в информационно-телекоммуникационной сети «Интернет»)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4E" w:rsidRPr="00AF121A" w:rsidRDefault="00754A0F" w:rsidP="00754A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  <w:tc>
          <w:tcPr>
            <w:tcW w:w="671" w:type="pct"/>
          </w:tcPr>
          <w:p w:rsidR="00064E4E" w:rsidRPr="00AF121A" w:rsidRDefault="00064E4E">
            <w:pPr>
              <w:rPr>
                <w:rFonts w:ascii="PT Astra Serif" w:hAnsi="PT Astra Serif"/>
              </w:rPr>
            </w:pPr>
          </w:p>
        </w:tc>
        <w:tc>
          <w:tcPr>
            <w:tcW w:w="669" w:type="pct"/>
          </w:tcPr>
          <w:p w:rsidR="00064E4E" w:rsidRPr="00AF121A" w:rsidRDefault="00064E4E" w:rsidP="00EB50DA">
            <w:pPr>
              <w:spacing w:line="274" w:lineRule="exact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указать число</w:t>
            </w:r>
          </w:p>
        </w:tc>
      </w:tr>
      <w:tr w:rsidR="00754A0F" w:rsidRPr="00AF121A" w:rsidTr="00AE4CB5">
        <w:trPr>
          <w:gridAfter w:val="2"/>
          <w:wAfter w:w="1340" w:type="pct"/>
          <w:trHeight w:val="618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762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положительных заключений по итогам экспертизы муниципальных НПА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F" w:rsidRPr="00AF121A" w:rsidRDefault="00754A0F" w:rsidP="0007625A">
            <w:pPr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07625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0762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муниципальных НПА, по итогам экспертизы которых выявлены положения, затрудняющие ведение предпринимательской и инвестиционной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F" w:rsidRPr="00AF121A" w:rsidRDefault="00754A0F" w:rsidP="0007625A">
            <w:pPr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07625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5A" w:rsidRPr="00AF121A" w:rsidRDefault="00754A0F" w:rsidP="000762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муниципальных НПА, по результатам экспертизы которых в них внесены изменения или принято решение об их отмене</w:t>
            </w:r>
          </w:p>
          <w:p w:rsidR="00754A0F" w:rsidRPr="00AF121A" w:rsidRDefault="00754A0F" w:rsidP="000762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</w:t>
            </w:r>
          </w:p>
          <w:p w:rsidR="00754A0F" w:rsidRPr="00AF121A" w:rsidRDefault="00754A0F" w:rsidP="0007625A">
            <w:pPr>
              <w:spacing w:after="0" w:line="274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реквизиты муниципальн</w:t>
            </w:r>
            <w:r w:rsidR="0007625A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ых</w:t>
            </w: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 НПА, которым</w:t>
            </w:r>
            <w:r w:rsidR="0007625A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и</w:t>
            </w: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 xml:space="preserve"> внесены изменения и</w:t>
            </w:r>
            <w:r w:rsidR="0007625A"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ли приняты решения об отмене муниципальных НПА)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F" w:rsidRPr="00AF121A" w:rsidRDefault="00754A0F" w:rsidP="0007625A">
            <w:pPr>
              <w:jc w:val="center"/>
              <w:rPr>
                <w:rFonts w:ascii="PT Astra Serif" w:hAnsi="PT Astra Serif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754A0F" w:rsidRPr="00AF121A" w:rsidTr="0007625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754A0F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F" w:rsidRPr="00AF121A" w:rsidRDefault="0007625A" w:rsidP="000762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 количество муниципальных НПА, по результатам экспертизы которых они остались без изменений</w:t>
            </w:r>
          </w:p>
          <w:p w:rsidR="0007625A" w:rsidRPr="00AF121A" w:rsidRDefault="0007625A" w:rsidP="000762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</w:t>
            </w:r>
          </w:p>
          <w:p w:rsidR="0007625A" w:rsidRPr="00AF121A" w:rsidRDefault="0007625A" w:rsidP="0007625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реквизиты муниципальных НПА, которые остались без изменений)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F" w:rsidRPr="00AF121A" w:rsidRDefault="0007625A" w:rsidP="000762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C0655B" w:rsidRPr="00AF121A" w:rsidTr="0007625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B" w:rsidRPr="00AF121A" w:rsidRDefault="00C0655B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B" w:rsidRPr="00AF121A" w:rsidRDefault="00C0655B" w:rsidP="000762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При проведении ОРВ используются количественные методы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5B" w:rsidRPr="00AF121A" w:rsidRDefault="00C0655B" w:rsidP="000762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C0655B" w:rsidRPr="00AF121A" w:rsidTr="00C0655B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B" w:rsidRPr="00AF121A" w:rsidRDefault="00C0655B" w:rsidP="00C065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C0655B" w:rsidRPr="00AF121A" w:rsidRDefault="00C0655B" w:rsidP="00C065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реквизиты заключений об ОРВ, подготовленных с использованием количественных методов, а также адрес их размещения в информационно-телекоммуникационной сети «Интернет)</w:t>
            </w:r>
          </w:p>
        </w:tc>
      </w:tr>
      <w:tr w:rsidR="00064E4E" w:rsidRPr="00AF121A" w:rsidTr="00754A0F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4E" w:rsidRPr="00AF121A" w:rsidRDefault="00D46E52" w:rsidP="00C065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C0655B" w:rsidRPr="00AF121A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F121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4E" w:rsidRPr="00AF121A" w:rsidRDefault="00D70F88" w:rsidP="00D70F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4E" w:rsidRPr="00AF121A" w:rsidRDefault="00D70F88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число</w:t>
            </w:r>
          </w:p>
        </w:tc>
      </w:tr>
      <w:tr w:rsidR="00F3345F" w:rsidRPr="00AF121A" w:rsidTr="00F3345F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5F" w:rsidRPr="00AF121A" w:rsidRDefault="00F3345F" w:rsidP="00F334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F3345F" w:rsidRPr="00AF121A" w:rsidRDefault="00F3345F" w:rsidP="00F334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сводок предложений в информационно-телекоммуникационной сети «Интернет»)</w:t>
            </w:r>
          </w:p>
        </w:tc>
      </w:tr>
      <w:tr w:rsidR="0021780B" w:rsidRPr="00AF121A" w:rsidTr="00EB50DA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2.5.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EB50DA">
            <w:pPr>
              <w:pStyle w:val="50"/>
              <w:shd w:val="clear" w:color="auto" w:fill="auto"/>
              <w:spacing w:line="283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/>
                <w:b w:val="0"/>
                <w:bCs w:val="0"/>
              </w:rPr>
              <w:t>В разделе по ОРВ на официальном сайте муниципального образования приведены практические примеры проведения ОРВ и экспертизы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21780B" w:rsidRPr="00AF121A" w:rsidTr="0021780B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материалов в информационно-телекоммуникационной сети «Интернет»)</w:t>
            </w:r>
          </w:p>
        </w:tc>
      </w:tr>
      <w:tr w:rsidR="0021780B" w:rsidRPr="00AF121A" w:rsidTr="0021780B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B24B6A" w:rsidRDefault="00B24B6A" w:rsidP="00B24B6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B6A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III</w:t>
            </w:r>
            <w:r w:rsidRPr="00B24B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. </w:t>
            </w:r>
            <w:r w:rsidR="0021780B" w:rsidRPr="00B24B6A">
              <w:rPr>
                <w:rFonts w:ascii="PT Astra Serif" w:hAnsi="PT Astra Serif" w:cs="Times New Roman"/>
                <w:b/>
                <w:sz w:val="24"/>
                <w:szCs w:val="24"/>
              </w:rPr>
              <w:t>Информационное и организационное сопровождение</w:t>
            </w: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D70F88">
            <w:pPr>
              <w:pStyle w:val="50"/>
              <w:shd w:val="clear" w:color="auto" w:fill="auto"/>
              <w:spacing w:line="283" w:lineRule="exact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AF121A">
              <w:rPr>
                <w:rFonts w:ascii="PT Astra Serif" w:hAnsi="PT Astra Serif"/>
                <w:b w:val="0"/>
                <w:sz w:val="24"/>
                <w:szCs w:val="24"/>
              </w:rPr>
              <w:t>Информация о проведении ОРВ и экспертизы по проектам муниципальных НПА размещена в открытом доступе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материалов в информационно-телекоммуникационной сети «Интернет»)</w:t>
            </w: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3.2.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E105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В муниципальном образовании создан и действует коллегиальный (совещательный) орган по вопросам ОРВ и экспертизы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21780B" w:rsidRPr="00AF121A" w:rsidTr="00C0655B">
        <w:trPr>
          <w:gridAfter w:val="2"/>
          <w:wAfter w:w="1340" w:type="pct"/>
        </w:trPr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C065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________________________________________________________________________________________</w:t>
            </w:r>
          </w:p>
          <w:p w:rsidR="0021780B" w:rsidRPr="00AF121A" w:rsidRDefault="0021780B" w:rsidP="00C065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реквизиты муниципального НПА, утверждающего Положение о таком органе)</w:t>
            </w: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3.3.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C0655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 xml:space="preserve">Специалисты органов местного самоуправления муниципальных образований обучались навыкам проведения ОРВ и экспертизы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6D04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</w:t>
            </w:r>
          </w:p>
          <w:p w:rsidR="0021780B" w:rsidRPr="00AF121A" w:rsidRDefault="0021780B" w:rsidP="00EB5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указать дату, программу обучения или вид мероприятия)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21780B" w:rsidRPr="00AF121A" w:rsidTr="00D70F88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3.4.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Проводятся мероприятия, посвященные реализации института ОРВ в муниципальных образованиях. Информация о прошедших и (или) готовящихся мероприятиях (событиях) в сфере ОРВ регулярно публику</w:t>
            </w:r>
            <w:r w:rsidR="00AF73F7"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</w:t>
            </w: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тся в сети Интернет, СМИ</w:t>
            </w: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</w:t>
            </w: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19"/>
                <w:szCs w:val="19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адрес размещения материалов в информационно-телекоммуникационной сети «Интернет», СМИ)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</w:tc>
      </w:tr>
      <w:tr w:rsidR="0021780B" w:rsidRPr="00AF121A" w:rsidTr="00105BAE">
        <w:trPr>
          <w:gridAfter w:val="2"/>
          <w:wAfter w:w="1340" w:type="pct"/>
        </w:trPr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2178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hAnsi="PT Astra Serif" w:cs="Times New Roman"/>
                <w:sz w:val="24"/>
                <w:szCs w:val="24"/>
              </w:rPr>
              <w:t>3.5.</w:t>
            </w:r>
          </w:p>
        </w:tc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0B" w:rsidRPr="00AF121A" w:rsidRDefault="0021780B" w:rsidP="00D70F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Заключены соглашения о взаимодействии при проведении процедуры ОРВ и экспертизы с представителями предпринимательского сообщества, общественными объединениями в сфере предпринимательской и инвестиционной деятельности</w:t>
            </w: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________________________________________________________________</w:t>
            </w:r>
          </w:p>
          <w:p w:rsidR="0021780B" w:rsidRPr="00AF121A" w:rsidRDefault="0021780B" w:rsidP="00105BAE">
            <w:pPr>
              <w:spacing w:after="0" w:line="278" w:lineRule="exact"/>
              <w:ind w:left="120"/>
              <w:jc w:val="center"/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i/>
                <w:iCs/>
                <w:sz w:val="19"/>
                <w:szCs w:val="19"/>
                <w:lang w:eastAsia="ru-RU"/>
              </w:rPr>
              <w:t>(указать наименование контрагента, а также реквизиты соглашения)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AF121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да/нет</w:t>
            </w: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:rsidR="0021780B" w:rsidRPr="00AF121A" w:rsidRDefault="0021780B" w:rsidP="00105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AF121A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––––––––––––</w:t>
            </w:r>
            <w:r w:rsidRPr="00AF121A">
              <w:rPr>
                <w:rFonts w:ascii="PT Astra Serif" w:eastAsia="Times New Roman" w:hAnsi="PT Astra Serif" w:cs="Times New Roman"/>
                <w:sz w:val="19"/>
                <w:szCs w:val="19"/>
                <w:lang w:eastAsia="ru-RU"/>
              </w:rPr>
              <w:t>указать количество заключенных соглашений</w:t>
            </w:r>
          </w:p>
        </w:tc>
      </w:tr>
    </w:tbl>
    <w:p w:rsidR="001465B8" w:rsidRPr="00AF121A" w:rsidRDefault="001465B8" w:rsidP="00194194">
      <w:pPr>
        <w:spacing w:after="0"/>
        <w:rPr>
          <w:rFonts w:ascii="PT Astra Serif" w:hAnsi="PT Astra Serif"/>
        </w:rPr>
      </w:pPr>
    </w:p>
    <w:sectPr w:rsidR="001465B8" w:rsidRPr="00AF121A" w:rsidSect="001941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4C" w:rsidRDefault="0033144C" w:rsidP="00EB50DA">
      <w:pPr>
        <w:spacing w:after="0" w:line="240" w:lineRule="auto"/>
      </w:pPr>
      <w:r>
        <w:separator/>
      </w:r>
    </w:p>
  </w:endnote>
  <w:endnote w:type="continuationSeparator" w:id="0">
    <w:p w:rsidR="0033144C" w:rsidRDefault="0033144C" w:rsidP="00EB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4C" w:rsidRDefault="0033144C" w:rsidP="00EB50DA">
      <w:pPr>
        <w:spacing w:after="0" w:line="240" w:lineRule="auto"/>
      </w:pPr>
      <w:r>
        <w:separator/>
      </w:r>
    </w:p>
  </w:footnote>
  <w:footnote w:type="continuationSeparator" w:id="0">
    <w:p w:rsidR="0033144C" w:rsidRDefault="0033144C" w:rsidP="00EB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9524FE7"/>
    <w:multiLevelType w:val="hybridMultilevel"/>
    <w:tmpl w:val="D77C4D90"/>
    <w:lvl w:ilvl="0" w:tplc="6920912C">
      <w:start w:val="1"/>
      <w:numFmt w:val="decimal"/>
      <w:lvlText w:val="%1."/>
      <w:lvlJc w:val="left"/>
      <w:pPr>
        <w:ind w:left="18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D523B88"/>
    <w:multiLevelType w:val="hybridMultilevel"/>
    <w:tmpl w:val="6C50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B6A2E"/>
    <w:multiLevelType w:val="hybridMultilevel"/>
    <w:tmpl w:val="7080516A"/>
    <w:lvl w:ilvl="0" w:tplc="8F2AA7F2">
      <w:start w:val="1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5">
    <w:nsid w:val="31A67682"/>
    <w:multiLevelType w:val="hybridMultilevel"/>
    <w:tmpl w:val="D624CFEA"/>
    <w:lvl w:ilvl="0" w:tplc="D5EA0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30C4"/>
    <w:multiLevelType w:val="multilevel"/>
    <w:tmpl w:val="D5C46F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9A45BB6"/>
    <w:multiLevelType w:val="hybridMultilevel"/>
    <w:tmpl w:val="EE48E88A"/>
    <w:lvl w:ilvl="0" w:tplc="3BCC9162">
      <w:start w:val="1"/>
      <w:numFmt w:val="decimal"/>
      <w:lvlText w:val="%1."/>
      <w:lvlJc w:val="left"/>
      <w:pPr>
        <w:ind w:left="18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8D"/>
    <w:rsid w:val="00031B3C"/>
    <w:rsid w:val="00064E4E"/>
    <w:rsid w:val="0006546B"/>
    <w:rsid w:val="0007625A"/>
    <w:rsid w:val="0008529D"/>
    <w:rsid w:val="000973E5"/>
    <w:rsid w:val="000F0167"/>
    <w:rsid w:val="00105BAE"/>
    <w:rsid w:val="00107D0B"/>
    <w:rsid w:val="001465B8"/>
    <w:rsid w:val="0016791A"/>
    <w:rsid w:val="00194194"/>
    <w:rsid w:val="002158D8"/>
    <w:rsid w:val="0021780B"/>
    <w:rsid w:val="00252BCD"/>
    <w:rsid w:val="002D1961"/>
    <w:rsid w:val="002F3C99"/>
    <w:rsid w:val="0033144C"/>
    <w:rsid w:val="00347F76"/>
    <w:rsid w:val="003548FD"/>
    <w:rsid w:val="00393F7F"/>
    <w:rsid w:val="003962FC"/>
    <w:rsid w:val="004524F5"/>
    <w:rsid w:val="0047448D"/>
    <w:rsid w:val="004C39CF"/>
    <w:rsid w:val="004C6C18"/>
    <w:rsid w:val="005109FE"/>
    <w:rsid w:val="00551BC6"/>
    <w:rsid w:val="0055798E"/>
    <w:rsid w:val="00635880"/>
    <w:rsid w:val="0067586C"/>
    <w:rsid w:val="00687AB3"/>
    <w:rsid w:val="006C1769"/>
    <w:rsid w:val="006D040C"/>
    <w:rsid w:val="00754A0F"/>
    <w:rsid w:val="007D7653"/>
    <w:rsid w:val="007E5E20"/>
    <w:rsid w:val="007F2F7C"/>
    <w:rsid w:val="008238D3"/>
    <w:rsid w:val="00825F4A"/>
    <w:rsid w:val="008263C3"/>
    <w:rsid w:val="00836D27"/>
    <w:rsid w:val="00843250"/>
    <w:rsid w:val="008B351B"/>
    <w:rsid w:val="008E4219"/>
    <w:rsid w:val="0090245B"/>
    <w:rsid w:val="009350D2"/>
    <w:rsid w:val="009506C5"/>
    <w:rsid w:val="00957667"/>
    <w:rsid w:val="00973915"/>
    <w:rsid w:val="009D6A62"/>
    <w:rsid w:val="009E04E6"/>
    <w:rsid w:val="009F06E7"/>
    <w:rsid w:val="009F5402"/>
    <w:rsid w:val="009F749C"/>
    <w:rsid w:val="00A3515B"/>
    <w:rsid w:val="00AA0373"/>
    <w:rsid w:val="00AD1F6F"/>
    <w:rsid w:val="00AE4CB5"/>
    <w:rsid w:val="00AF121A"/>
    <w:rsid w:val="00AF73F7"/>
    <w:rsid w:val="00B24B6A"/>
    <w:rsid w:val="00B4018A"/>
    <w:rsid w:val="00B4094C"/>
    <w:rsid w:val="00B9345B"/>
    <w:rsid w:val="00BA027E"/>
    <w:rsid w:val="00BA1B84"/>
    <w:rsid w:val="00C0655B"/>
    <w:rsid w:val="00C54C0A"/>
    <w:rsid w:val="00D2472A"/>
    <w:rsid w:val="00D46E52"/>
    <w:rsid w:val="00D51C45"/>
    <w:rsid w:val="00D553E2"/>
    <w:rsid w:val="00D629E8"/>
    <w:rsid w:val="00D70F88"/>
    <w:rsid w:val="00DF6208"/>
    <w:rsid w:val="00E10569"/>
    <w:rsid w:val="00E35EEC"/>
    <w:rsid w:val="00E57F4F"/>
    <w:rsid w:val="00E77F95"/>
    <w:rsid w:val="00E932C9"/>
    <w:rsid w:val="00EA6E44"/>
    <w:rsid w:val="00EB50DA"/>
    <w:rsid w:val="00EF388D"/>
    <w:rsid w:val="00F034BD"/>
    <w:rsid w:val="00F22D2B"/>
    <w:rsid w:val="00F3345F"/>
    <w:rsid w:val="00FA35A3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3119A-3899-4983-99E2-E9B8B923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A027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Body Text"/>
    <w:basedOn w:val="a"/>
    <w:link w:val="1"/>
    <w:uiPriority w:val="99"/>
    <w:rsid w:val="00BA027E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BA027E"/>
  </w:style>
  <w:style w:type="character" w:styleId="a5">
    <w:name w:val="Hyperlink"/>
    <w:basedOn w:val="a0"/>
    <w:uiPriority w:val="99"/>
    <w:rsid w:val="000973E5"/>
    <w:rPr>
      <w:color w:val="0066CC"/>
      <w:u w:val="single"/>
    </w:rPr>
  </w:style>
  <w:style w:type="character" w:customStyle="1" w:styleId="10">
    <w:name w:val="Заголовок №1_"/>
    <w:basedOn w:val="a0"/>
    <w:link w:val="11"/>
    <w:uiPriority w:val="99"/>
    <w:rsid w:val="000973E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973E5"/>
    <w:pPr>
      <w:shd w:val="clear" w:color="auto" w:fill="FFFFFF"/>
      <w:spacing w:before="300" w:after="0" w:line="293" w:lineRule="exact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1465B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465B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1465B8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465B8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1465B8"/>
    <w:pPr>
      <w:shd w:val="clear" w:color="auto" w:fill="FFFFFF"/>
      <w:spacing w:after="600" w:line="293" w:lineRule="exact"/>
    </w:pPr>
    <w:rPr>
      <w:rFonts w:ascii="Times New Roman" w:hAnsi="Times New Roman" w:cs="Times New Roman"/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105BAE"/>
    <w:pPr>
      <w:ind w:left="720"/>
      <w:contextualSpacing/>
    </w:pPr>
  </w:style>
  <w:style w:type="paragraph" w:customStyle="1" w:styleId="50">
    <w:name w:val="Основной текст (5)"/>
    <w:basedOn w:val="a"/>
    <w:uiPriority w:val="99"/>
    <w:rsid w:val="00D70F88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b/>
      <w:bCs/>
      <w:sz w:val="23"/>
      <w:szCs w:val="23"/>
      <w:lang w:eastAsia="ru-RU"/>
    </w:rPr>
  </w:style>
  <w:style w:type="table" w:styleId="a7">
    <w:name w:val="Table Grid"/>
    <w:basedOn w:val="a1"/>
    <w:uiPriority w:val="59"/>
    <w:rsid w:val="00E5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Подпись к таблице (2)_"/>
    <w:basedOn w:val="a0"/>
    <w:link w:val="23"/>
    <w:uiPriority w:val="99"/>
    <w:locked/>
    <w:rsid w:val="009506C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3">
    <w:name w:val="Подпись к таблице (2)"/>
    <w:basedOn w:val="a"/>
    <w:link w:val="20"/>
    <w:uiPriority w:val="99"/>
    <w:rsid w:val="009506C5"/>
    <w:pPr>
      <w:shd w:val="clear" w:color="auto" w:fill="FFFFFF"/>
      <w:spacing w:after="0" w:line="293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4">
    <w:name w:val="Основной текст (2)"/>
    <w:basedOn w:val="2"/>
    <w:uiPriority w:val="99"/>
    <w:rsid w:val="009506C5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styleId="a8">
    <w:name w:val="endnote text"/>
    <w:basedOn w:val="a"/>
    <w:link w:val="a9"/>
    <w:uiPriority w:val="99"/>
    <w:semiHidden/>
    <w:unhideWhenUsed/>
    <w:rsid w:val="00EB50D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B50D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B50D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B50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B50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50DA"/>
    <w:rPr>
      <w:vertAlign w:val="superscript"/>
    </w:rPr>
  </w:style>
  <w:style w:type="character" w:customStyle="1" w:styleId="8pt">
    <w:name w:val="Основной текст + 8 pt"/>
    <w:basedOn w:val="1"/>
    <w:uiPriority w:val="99"/>
    <w:rsid w:val="00551BC6"/>
    <w:rPr>
      <w:rFonts w:ascii="Times New Roman" w:hAnsi="Times New Roman" w:cs="Times New Roman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0F9E-386F-41C5-BBC7-0DA18311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Войко</dc:creator>
  <cp:keywords/>
  <dc:description/>
  <cp:lastModifiedBy>Михаил Владимирович Васёв</cp:lastModifiedBy>
  <cp:revision>34</cp:revision>
  <cp:lastPrinted>2018-01-17T11:21:00Z</cp:lastPrinted>
  <dcterms:created xsi:type="dcterms:W3CDTF">2018-01-15T08:12:00Z</dcterms:created>
  <dcterms:modified xsi:type="dcterms:W3CDTF">2026-02-10T10:12:00Z</dcterms:modified>
</cp:coreProperties>
</file>