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>
      <w:pPr>
        <w:pStyle w:val="2"/>
        <w:spacing w:before="0"/>
        <w:ind w:right="-1"/>
        <w:jc w:val="left"/>
        <w:rPr>
          <w:rFonts w:ascii="PT Astra Serif" w:hAnsi="PT Astra Serif"/>
          <w:szCs w:val="26"/>
          <w:highlight w:val="white"/>
        </w:rPr>
      </w:pPr>
      <w:r>
        <w:rPr>
          <w:rFonts w:ascii="PT Astra Serif" w:hAnsi="PT Astra Serif"/>
          <w:szCs w:val="26"/>
          <w:highlight w:val="white"/>
        </w:rPr>
        <w:t>_________</w:t>
      </w:r>
      <w:r>
        <w:rPr>
          <w:rFonts w:ascii="PT Astra Serif" w:hAnsi="PT Astra Serif"/>
          <w:szCs w:val="26"/>
          <w:highlight w:val="white"/>
        </w:rPr>
        <w:t xml:space="preserve">  </w:t>
      </w:r>
      <w:r>
        <w:rPr>
          <w:rFonts w:ascii="PT Astra Serif" w:hAnsi="PT Astra Serif"/>
          <w:szCs w:val="26"/>
          <w:highlight w:val="white"/>
        </w:rPr>
        <w:t xml:space="preserve">                                                                     </w:t>
      </w:r>
      <w:r>
        <w:rPr>
          <w:rFonts w:ascii="PT Astra Serif" w:hAnsi="PT Astra Serif"/>
          <w:szCs w:val="26"/>
          <w:highlight w:val="white"/>
        </w:rPr>
        <w:t xml:space="preserve">                              </w:t>
      </w:r>
      <w:r>
        <w:rPr>
          <w:rFonts w:ascii="PT Astra Serif" w:hAnsi="PT Astra Serif"/>
          <w:szCs w:val="26"/>
          <w:highlight w:val="white"/>
        </w:rPr>
        <w:t xml:space="preserve">          </w:t>
      </w:r>
      <w:r>
        <w:rPr>
          <w:rFonts w:ascii="PT Astra Serif" w:hAnsi="PT Astra Serif"/>
          <w:szCs w:val="26"/>
          <w:highlight w:val="white"/>
        </w:rPr>
        <w:t xml:space="preserve">№ </w:t>
      </w:r>
      <w:r>
        <w:rPr>
          <w:rFonts w:ascii="PT Astra Serif" w:hAnsi="PT Astra Serif"/>
          <w:szCs w:val="26"/>
          <w:highlight w:val="white"/>
        </w:rPr>
        <w:t>_____</w:t>
      </w:r>
    </w:p>
    <w:p>
      <w:pPr>
        <w:pStyle w:val="2"/>
        <w:spacing w:before="0"/>
        <w:ind w:right="5670"/>
        <w:rPr>
          <w:rFonts w:ascii="PT Astra Serif" w:hAnsi="PT Astra Serif"/>
          <w:b/>
          <w:sz w:val="22"/>
          <w:highlight w:val="white"/>
        </w:rPr>
      </w:pPr>
    </w:p>
    <w:p>
      <w:pPr>
        <w:pStyle w:val="2"/>
        <w:spacing w:before="0"/>
        <w:ind w:right="5670"/>
        <w:rPr>
          <w:rFonts w:ascii="PT Astra Serif" w:hAnsi="PT Astra Serif"/>
          <w:b/>
          <w:sz w:val="22"/>
          <w:highlight w:val="white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PT Astra Serif" w:eastAsia="PT Astra Serif" w:hAnsi="PT Astra Serif"/>
          <w:szCs w:val="26"/>
          <w:highlight w:val="white"/>
        </w:rPr>
      </w:pPr>
      <w:r>
        <w:rPr>
          <w:rFonts w:ascii="PT Astra Serif" w:eastAsia="PT Astra Serif" w:hAnsi="PT Astra Serif"/>
          <w:szCs w:val="26"/>
          <w:highlight w:val="white"/>
          <w:lang w:eastAsia="en-US" w:bidi="en-US"/>
        </w:rPr>
        <w:t>О внесении изменений</w:t>
      </w:r>
      <w:r>
        <w:rPr>
          <w:rFonts w:ascii="PT Astra Serif" w:eastAsia="PT Astra Serif" w:hAnsi="PT Astra Serif"/>
          <w:szCs w:val="26"/>
          <w:highlight w:val="white"/>
          <w:lang w:eastAsia="en-US" w:bidi="en-US"/>
        </w:rPr>
        <w:t xml:space="preserve"> в постановление Администрации </w:t>
      </w:r>
      <w:r>
        <w:rPr>
          <w:rFonts w:ascii="PT Astra Serif" w:eastAsia="PT Astra Serif" w:hAnsi="PT Astra Serif"/>
          <w:szCs w:val="26"/>
          <w:highlight w:val="white"/>
          <w:lang w:eastAsia="en-US" w:bidi="en-US"/>
        </w:rPr>
        <w:br w:type="textWrapping" w:clear="all"/>
      </w:r>
      <w:r>
        <w:rPr>
          <w:rFonts w:ascii="PT Astra Serif" w:eastAsia="PT Astra Serif" w:hAnsi="PT Astra Serif"/>
          <w:szCs w:val="26"/>
          <w:highlight w:val="white"/>
          <w:lang w:eastAsia="en-US" w:bidi="en-US"/>
        </w:rPr>
        <w:t>Томской области от 29.09.2021 № 409</w:t>
      </w:r>
      <w:r>
        <w:rPr>
          <w:rFonts w:ascii="PT Astra Serif" w:eastAsia="PT Astra Serif" w:hAnsi="PT Astra Serif"/>
          <w:szCs w:val="26"/>
          <w:highlight w:val="white"/>
          <w:lang w:eastAsia="en-US" w:bidi="en-US"/>
        </w:rPr>
        <w:t>а</w:t>
      </w:r>
    </w:p>
    <w:p>
      <w:pPr>
        <w:ind w:right="4677" w:firstLine="0"/>
        <w:jc w:val="both"/>
        <w:rPr>
          <w:rFonts w:ascii="PT Astra Serif" w:hAnsi="PT Astra Serif"/>
          <w:szCs w:val="26"/>
          <w:highlight w:val="white"/>
        </w:rPr>
      </w:pPr>
    </w:p>
    <w:p>
      <w:pPr>
        <w:ind w:right="4677" w:firstLine="0"/>
        <w:jc w:val="both"/>
        <w:rPr>
          <w:rFonts w:ascii="PT Astra Serif" w:hAnsi="PT Astra Serif"/>
          <w:szCs w:val="26"/>
          <w:highlight w:val="white"/>
        </w:rPr>
      </w:pPr>
    </w:p>
    <w:p>
      <w:pPr>
        <w:spacing w:line="240" w:lineRule="auto"/>
        <w:ind w:firstLine="709"/>
        <w:jc w:val="both"/>
        <w:rPr>
          <w:rFonts w:ascii="PT Astra Serif" w:hAnsi="PT Astra Serif"/>
          <w:highlight w:val="white"/>
        </w:rPr>
      </w:pPr>
      <w:r>
        <w:rPr>
          <w:rFonts w:ascii="PT Astra Serif" w:hAnsi="PT Astra Serif"/>
          <w:sz w:val="26"/>
          <w:szCs w:val="26"/>
          <w:highlight w:val="white"/>
        </w:rPr>
        <w:t>В соответствии с частью 5 статьи 20 Закона Томской области от 7 марта 2002 года № 9-ОЗ «О нормативных правовых актах Томской области»</w:t>
      </w:r>
    </w:p>
    <w:p>
      <w:pPr>
        <w:jc w:val="both"/>
        <w:rPr>
          <w:rFonts w:ascii="PT Astra Serif" w:hAnsi="PT Astra Serif"/>
          <w:spacing w:val="10"/>
          <w:highlight w:val="white"/>
        </w:rPr>
      </w:pPr>
      <w:r>
        <w:rPr>
          <w:rFonts w:ascii="PT Astra Serif" w:hAnsi="PT Astra Serif"/>
          <w:spacing w:val="10"/>
          <w:szCs w:val="26"/>
          <w:highlight w:val="white"/>
        </w:rPr>
        <w:t>ПОСТАНОВЛЯЕТ:</w:t>
      </w:r>
    </w:p>
    <w:p>
      <w:pPr>
        <w:jc w:val="both"/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</w:pPr>
      <w:r>
        <w:rPr>
          <w:rFonts w:ascii="PT Astra Serif" w:hAnsi="PT Astra Serif"/>
          <w:spacing w:val="10"/>
          <w:szCs w:val="26"/>
          <w:highlight w:val="white"/>
        </w:rPr>
        <w:t>1.</w:t>
      </w:r>
      <w:r>
        <w:rPr>
          <w:rFonts w:ascii="PT Astra Serif" w:hAnsi="PT Astra Serif"/>
          <w:szCs w:val="26"/>
          <w:highlight w:val="white"/>
        </w:rPr>
        <w:t>В</w:t>
      </w:r>
      <w:r>
        <w:rPr>
          <w:rFonts w:ascii="PT Astra Serif" w:hAnsi="PT Astra Serif" w:cs="PT Astra Serif"/>
          <w:sz w:val="26"/>
          <w:szCs w:val="26"/>
          <w:highlight w:val="white"/>
        </w:rPr>
        <w:t xml:space="preserve">нести </w:t>
      </w:r>
      <w:r>
        <w:rPr>
          <w:rFonts w:ascii="PT Astra Serif" w:hAnsi="PT Astra Serif" w:cs="PT Astra Serif"/>
          <w:sz w:val="26"/>
          <w:szCs w:val="26"/>
          <w:highlight w:val="white"/>
        </w:rPr>
        <w:t xml:space="preserve">в постановление Администрации Томской области от 29.09.2021 </w:t>
        <w:br/>
        <w:t>№ 409а</w:t>
      </w:r>
      <w:r>
        <w:rPr>
          <w:rFonts w:ascii="PT Astra Serif" w:hAnsi="PT Astra Serif" w:cs="PT Astra Serif"/>
          <w:sz w:val="26"/>
          <w:szCs w:val="26"/>
          <w:highlight w:val="white"/>
        </w:rPr>
        <w:t xml:space="preserve"> </w:t>
      </w:r>
      <w:r>
        <w:rPr>
          <w:rFonts w:ascii="PT Astra Serif" w:hAnsi="PT Astra Serif" w:cs="PT Astra Serif"/>
          <w:sz w:val="26"/>
          <w:szCs w:val="26"/>
          <w:highlight w:val="white"/>
        </w:rPr>
        <w:t>«</w:t>
      </w:r>
      <w:r>
        <w:rPr>
          <w:rFonts w:ascii="PT Astra Serif" w:hAnsi="PT Astra Serif" w:cs="PT Astra Serif"/>
          <w:sz w:val="26"/>
          <w:szCs w:val="26"/>
          <w:highlight w:val="white"/>
        </w:rPr>
        <w:t>О</w:t>
      </w:r>
      <w:r>
        <w:rPr>
          <w:rFonts w:ascii="PT Astra Serif" w:hAnsi="PT Astra Serif" w:cs="PT Astra Serif"/>
          <w:sz w:val="26"/>
          <w:szCs w:val="26"/>
          <w:highlight w:val="white"/>
        </w:rPr>
        <w:t>б утверждении Положения 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Томской области</w:t>
      </w:r>
      <w:r>
        <w:rPr>
          <w:rFonts w:ascii="PT Astra Serif" w:hAnsi="PT Astra Serif" w:cs="PT Astra Serif"/>
          <w:sz w:val="26"/>
          <w:szCs w:val="26"/>
          <w:highlight w:val="white"/>
        </w:rPr>
        <w:t>»</w:t>
      </w:r>
      <w:r>
        <w:rPr>
          <w:rFonts w:ascii="PT Astra Serif" w:hAnsi="PT Astra Serif" w:cs="PT Astra Serif"/>
          <w:sz w:val="26"/>
          <w:szCs w:val="26"/>
          <w:highlight w:val="white"/>
        </w:rPr>
        <w:t xml:space="preserve"> (Собрание законодательства Томской области, 2021</w:t>
      </w:r>
      <w:r>
        <w:rPr>
          <w:rFonts w:ascii="PT Astra Serif" w:hAnsi="PT Astra Serif" w:cs="PT Astra Serif"/>
          <w:sz w:val="26"/>
          <w:szCs w:val="26"/>
          <w:highlight w:val="white"/>
        </w:rPr>
        <w:t>, № 10/1 (276</w:t>
      </w:r>
      <w:r>
        <w:rPr>
          <w:rFonts w:ascii="PT Astra Serif" w:hAnsi="PT Astra Serif" w:cs="PT Astra Serif"/>
          <w:sz w:val="26"/>
          <w:szCs w:val="26"/>
          <w:highlight w:val="white"/>
        </w:rPr>
        <w:t>) следующие изменения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en-US"/>
        </w:rPr>
        <w:t>:</w:t>
      </w:r>
    </w:p>
    <w:p>
      <w:pPr>
        <w:jc w:val="both"/>
        <w:rPr>
          <w:rFonts w:ascii="PT Astra Serif" w:hAnsi="PT Astra Serif"/>
          <w:spacing w:val="10"/>
          <w:highlight w:val="white"/>
        </w:rPr>
      </w:pP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>1) в пункте 5 слова «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>заместителя Губернатора Томской области по социальной политике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>» заменить словами «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>заместителя Председателя Правительства Томской области (по социальной политике</w:t>
      </w:r>
      <w:r>
        <w:rPr>
          <w:rFonts w:ascii="PT Astra Serif" w:hAnsi="PT Astra Serif"/>
          <w:spacing w:val="10"/>
          <w:highlight w:val="white"/>
        </w:rPr>
        <w:t>).»</w:t>
      </w:r>
      <w:r>
        <w:rPr>
          <w:rFonts w:ascii="PT Astra Serif" w:hAnsi="PT Astra Serif"/>
          <w:spacing w:val="10"/>
          <w:highlight w:val="white"/>
          <w:lang w:val="en-US"/>
        </w:rPr>
        <w:t>;</w:t>
      </w:r>
    </w:p>
    <w:p>
      <w:pPr>
        <w:jc w:val="both"/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</w:pPr>
      <w:r>
        <w:rPr>
          <w:rFonts w:ascii="PT Astra Serif" w:hAnsi="PT Astra Serif"/>
          <w:spacing w:val="10"/>
          <w:highlight w:val="white"/>
          <w:lang w:val="ru-RU"/>
        </w:rPr>
        <w:t>2) в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  <w:t xml:space="preserve">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  <w:t>Положении 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Томской области, утвержденном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  <w:t xml:space="preserve"> указанным постановлением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en-US"/>
        </w:rPr>
        <w:t>:</w:t>
      </w:r>
    </w:p>
    <w:p>
      <w:pPr>
        <w:jc w:val="both"/>
        <w:rPr>
          <w:rFonts w:ascii="PT Astra Serif" w:hAnsi="PT Astra Serif"/>
          <w:spacing w:val="10"/>
          <w:highlight w:val="white"/>
        </w:rPr>
      </w:pP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  <w:t xml:space="preserve">а) пункт 11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</w:rPr>
        <w:t>дополнить абзацем следующего содержания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: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</w:rPr>
        <w:t>«Объект регионально</w:t>
      </w: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  <w:lang w:val="ru-RU"/>
        </w:rPr>
        <w:t xml:space="preserve">го государственного контроля считается </w:t>
      </w: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  <w:lang w:val="ru-RU"/>
        </w:rPr>
        <w:t xml:space="preserve">отнесенным к одной из категорий риска после внесения сведений в </w:t>
      </w: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  <w:lang w:val="ru-RU"/>
        </w:rPr>
        <w:t xml:space="preserve">единый реестр видов федерального государственного контроля </w:t>
      </w: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  <w:lang w:val="ru-RU"/>
        </w:rPr>
        <w:t xml:space="preserve">(надзора), регионального государственного контроля (надзора), </w:t>
      </w:r>
      <w:r>
        <w:rPr>
          <w:rFonts w:ascii="PT Astra Serif" w:eastAsia="Arial" w:hAnsi="PT Astra Serif" w:cs="PT Astra Serif"/>
          <w:color w:val="000000" w:themeColor="text1"/>
          <w:sz w:val="26"/>
          <w:szCs w:val="26"/>
          <w:highlight w:val="white"/>
          <w:lang w:val="ru-RU"/>
        </w:rPr>
        <w:t>муниципального контроля.»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б) пункт 18 признать утратившим силу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в) пункт 28 изложить в следующей редакции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: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«28. 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В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озражение может быть подано контролируемым лицом в Департамент при личном обращении или посредством почтового отправления, в электронной форме на электронную почту Департамента или посредством федеральной государственной информационной системы «Единый порт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ал государственных и муниципальных услуг (функций)» (далее - единый портал государственных и муниципальных услуг).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Возражение, содержащее сведения и документы, составляющие государственную или иную охраняемую законом тайну, подается контролируемым лицом в Департамент без использования единого портала государственных и муниципа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льных услуг с учетом требований законодательства Российской Федерации о государственной и иной охраняемой законом тайне.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»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г) пункт 31 изложить в следующей редакции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:</w:t>
      </w:r>
    </w:p>
    <w:p>
      <w:pPr>
        <w:widowControl w:val="0"/>
        <w:jc w:val="both"/>
        <w:rPr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«31.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 Должностные лица Департамента по обращениям контролируемых лиц и их представителей, направленным в том числе посредством единого портала государственных и муниципальных услуг, осуществляют консультирование в соответствии со статьей 50 Федерального закона.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К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д) пункт 43 изложить в следующей редакции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: 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«43. 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При осуществлении регионального государственного контроля (надзора) плановые контрольные (надзорные) мероприятия не проводятся.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»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е) пункт 44 признать утратившим силу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ж) пункт 49 изложить в следующей редакции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: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 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«49) 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В ходе документарной проверки рассматриваются документы контролируемых лиц, имеющиеся в распоряжении Департамента, результаты предыдущих контрольных (надзорных) мероприятий, материалы рассмотрения дел об административных правонарушениях 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и иные документы о результатах осуществленных в отношении этих контролируемых лиц государственного контроля (надзора).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Если имеющихся в распоряжении Департамента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>
      <w:pPr>
        <w:widowControl w:val="0"/>
        <w:jc w:val="both"/>
        <w:rPr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1) получение письменных объяснений;</w:t>
      </w:r>
    </w:p>
    <w:p>
      <w:pPr>
        <w:widowControl w:val="0"/>
        <w:jc w:val="both"/>
        <w:rPr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2) истребование документов;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3) экспертиза.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»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>;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з) пункт 59 изложить в следующей редакции</w:t>
      </w:r>
      <w:r>
        <w:rPr>
          <w:rFonts w:ascii="PT Astra Serif" w:hAnsi="PT Astra Serif" w:cs="PT Astra Serif"/>
          <w:sz w:val="26"/>
          <w:szCs w:val="26"/>
          <w:highlight w:val="white"/>
          <w:lang w:val="en-US"/>
        </w:rPr>
        <w:t xml:space="preserve">: </w:t>
      </w:r>
    </w:p>
    <w:p>
      <w:pPr>
        <w:widowControl w:val="0"/>
        <w:jc w:val="both"/>
        <w:rPr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«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59. Досудебное обжалование решени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й Департамента, действий (бездействия) его должностных лиц осуществляется в соответствии с положениями Федерального закона.</w:t>
      </w:r>
    </w:p>
    <w:p>
      <w:pPr>
        <w:widowControl w:val="0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Жалоба на действие (бездействие) начальника Департамента и иных должностных лиц Департамента рассматривается начальником Департамента.</w:t>
      </w:r>
    </w:p>
    <w:p>
      <w:pPr>
        <w:widowControl w:val="0"/>
        <w:jc w:val="both"/>
        <w:rPr>
          <w:highlight w:val="white"/>
        </w:rPr>
      </w:pP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 xml:space="preserve">Жалоба, содержащая сведения и документы, составляющие государственную или иную 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охраняемую законом тайну, подается контролируемым лицом на бумажном носителе в Департамент по месту расположения Департамента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.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»</w:t>
      </w:r>
      <w:r>
        <w:rPr>
          <w:rFonts w:ascii="PT Astra Serif" w:hAnsi="PT Astra Serif" w:cs="PT Astra Serif"/>
          <w:sz w:val="26"/>
          <w:szCs w:val="26"/>
          <w:highlight w:val="white"/>
          <w:lang w:val="ru-RU"/>
        </w:rPr>
        <w:t>;</w:t>
      </w:r>
    </w:p>
    <w:p>
      <w:pPr>
        <w:widowControl w:val="0"/>
        <w:jc w:val="both"/>
        <w:rPr>
          <w:highlight w:val="white"/>
        </w:rPr>
      </w:pPr>
      <w:r>
        <w:rPr>
          <w:highlight w:val="white"/>
          <w:lang w:val="ru-RU"/>
        </w:rPr>
        <w:t>Жалоба на решение Департамента, действия (бездействие) его начальника и должностных лиц, содержащая сведения и документы, составляющие государственную или иную охраняемую законом тайну, рассматривается начальником</w:t>
      </w:r>
      <w:r>
        <w:rPr>
          <w:highlight w:val="white"/>
          <w:lang w:val="ru-RU"/>
        </w:rPr>
        <w:t xml:space="preserve"> Департамента в порядке, установленном частями 2 - 6 статьи 43 Федерального закона, с учетом требований законодательства Российской Федерации о государственной и иной охраняемой законом тайне.</w:t>
      </w:r>
    </w:p>
    <w:p>
      <w:pPr>
        <w:suppressLineNumbers w:val="0"/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cs="PT Astra Serif"/>
          <w:color w:val="000000" w:themeColor="text1"/>
          <w:sz w:val="26"/>
          <w:szCs w:val="26"/>
          <w:highlight w:val="white"/>
          <w:lang w:val="ru-RU"/>
        </w:rPr>
        <w:t>2.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 xml:space="preserve"> Настоящее постановление вступает в сил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highlight w:val="white"/>
          <w:lang w:val="ru-RU"/>
        </w:rPr>
        <w:t>у со дня его официального опубликования.</w:t>
      </w:r>
    </w:p>
    <w:p>
      <w:pPr>
        <w:widowControl w:val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</w:p>
    <w:p>
      <w:pPr>
        <w:widowControl w:val="0"/>
        <w:ind w:firstLine="0"/>
        <w:jc w:val="both"/>
        <w:rPr>
          <w:rFonts w:ascii="PT Astra Serif" w:hAnsi="PT Astra Serif"/>
          <w:highlight w:val="white"/>
        </w:rPr>
      </w:pPr>
    </w:p>
    <w:p>
      <w:pPr>
        <w:widowControl w:val="0"/>
        <w:ind w:firstLine="0"/>
        <w:jc w:val="both"/>
        <w:rPr>
          <w:rFonts w:ascii="PT Astra Serif" w:hAnsi="PT Astra Serif"/>
          <w:highlight w:val="white"/>
        </w:rPr>
      </w:pPr>
    </w:p>
    <w:p>
      <w:pPr>
        <w:pStyle w:val="3"/>
        <w:spacing w:before="60"/>
        <w:jc w:val="left"/>
        <w:rPr>
          <w:rFonts w:ascii="PT Astra Serif" w:hAnsi="PT Astra Serif"/>
          <w:sz w:val="26"/>
          <w:szCs w:val="26"/>
          <w:highlight w:val="white"/>
        </w:rPr>
      </w:pPr>
      <w:r>
        <w:rPr>
          <w:rFonts w:ascii="PT Astra Serif" w:hAnsi="PT Astra Serif"/>
          <w:sz w:val="26"/>
          <w:szCs w:val="26"/>
          <w:highlight w:val="white"/>
        </w:rPr>
        <w:t>Председатель Правительства</w:t>
        <w:br/>
      </w:r>
      <w:r>
        <w:rPr>
          <w:rFonts w:ascii="PT Astra Serif" w:hAnsi="PT Astra Serif"/>
          <w:sz w:val="26"/>
          <w:szCs w:val="26"/>
          <w:highlight w:val="white"/>
        </w:rPr>
        <w:t>Томской области</w:t>
      </w:r>
      <w:r>
        <w:rPr>
          <w:rFonts w:ascii="PT Astra Serif" w:hAnsi="PT Astra Serif"/>
          <w:sz w:val="26"/>
          <w:szCs w:val="26"/>
          <w:highlight w:val="white"/>
        </w:rPr>
        <w:t xml:space="preserve">   </w:t>
      </w:r>
      <w:r>
        <w:rPr>
          <w:rFonts w:ascii="PT Astra Serif" w:hAnsi="PT Astra Serif"/>
          <w:sz w:val="26"/>
          <w:szCs w:val="26"/>
          <w:highlight w:val="white"/>
        </w:rPr>
        <w:t xml:space="preserve">    </w:t>
      </w:r>
      <w:r>
        <w:rPr>
          <w:rFonts w:ascii="PT Astra Serif" w:hAnsi="PT Astra Serif"/>
          <w:sz w:val="26"/>
          <w:szCs w:val="26"/>
          <w:highlight w:val="white"/>
        </w:rPr>
        <w:t xml:space="preserve">                                                                               А</w:t>
      </w:r>
      <w:r>
        <w:rPr>
          <w:rFonts w:ascii="PT Astra Serif" w:hAnsi="PT Astra Serif"/>
          <w:sz w:val="26"/>
          <w:szCs w:val="26"/>
          <w:highlight w:val="white"/>
        </w:rPr>
        <w:t>.В. Кондратьев</w:t>
      </w:r>
    </w:p>
    <w:p>
      <w:pPr>
        <w:spacing w:before="20"/>
        <w:ind w:firstLine="0"/>
        <w:rPr>
          <w:rFonts w:ascii="PT Astra Serif" w:eastAsia="Arial" w:hAnsi="PT Astra Serif"/>
          <w:sz w:val="20"/>
          <w:szCs w:val="20"/>
          <w:highlight w:val="white"/>
        </w:rPr>
      </w:pPr>
    </w:p>
    <w:p>
      <w:pPr>
        <w:spacing w:before="20"/>
        <w:ind w:firstLine="0"/>
        <w:rPr>
          <w:rFonts w:ascii="PT Astra Serif" w:eastAsia="Arial" w:hAnsi="PT Astra Serif"/>
          <w:sz w:val="20"/>
          <w:szCs w:val="20"/>
          <w:highlight w:val="white"/>
        </w:rPr>
      </w:pPr>
    </w:p>
    <w:p>
      <w:pPr>
        <w:spacing w:before="20"/>
        <w:ind w:firstLine="0"/>
        <w:rPr>
          <w:rFonts w:ascii="PT Astra Serif" w:eastAsia="Arial" w:hAnsi="PT Astra Serif"/>
          <w:bCs/>
          <w:sz w:val="20"/>
          <w:highlight w:val="white"/>
        </w:rPr>
      </w:pPr>
      <w:r>
        <w:rPr>
          <w:rFonts w:ascii="PT Astra Serif" w:eastAsia="Arial" w:hAnsi="PT Astra Serif"/>
          <w:bCs/>
          <w:sz w:val="20"/>
          <w:highlight w:val="white"/>
          <w:lang w:eastAsia="en-US" w:bidi="en-US"/>
        </w:rPr>
        <w:t>Извекова Наталья Борисовна</w:t>
      </w:r>
    </w:p>
    <w:sectPr>
      <w:headerReference w:type="even" r:id="rId4"/>
      <w:headerReference w:type="default" r:id="rId5"/>
      <w:footerReference w:type="default" r:id="rId6"/>
      <w:headerReference w:type="first" r:id="rId7"/>
      <w:type w:val="continuous"/>
      <w:pgSz w:w="11907" w:h="16840" w:orient="portrait"/>
      <w:pgMar w:top="1418" w:right="851" w:bottom="540" w:left="1701" w:header="720" w:footer="567" w:gutter="0"/>
      <w:cols w:num="1" w:sep="0" w:space="720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4"/>
      <w:ind w:left="-567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fldChar w:fldCharType="end"/>
    </w:r>
  </w:p>
  <w:p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a3"/>
      <w:framePr w:wrap="around" w:vAnchor="text" w:hAnchor="margin" w:xAlign="center" w:y="1"/>
      <w:ind w:firstLine="284"/>
      <w:rPr>
        <w:rStyle w:val="a5"/>
        <w:b/>
        <w:sz w:val="24"/>
      </w:rPr>
    </w:pPr>
    <w:r>
      <w:rPr>
        <w:rStyle w:val="a5"/>
        <w:b/>
        <w:sz w:val="24"/>
      </w:rPr>
      <w:fldChar w:fldCharType="begin"/>
    </w:r>
    <w:r>
      <w:rPr>
        <w:rStyle w:val="a5"/>
        <w:b/>
        <w:sz w:val="24"/>
      </w:rPr>
      <w:instrText xml:space="preserve">PAGE  </w:instrText>
    </w:r>
    <w:r>
      <w:rPr>
        <w:rStyle w:val="a5"/>
        <w:b/>
        <w:sz w:val="24"/>
      </w:rPr>
      <w:fldChar w:fldCharType="separate"/>
    </w:r>
    <w:r>
      <w:rPr>
        <w:rStyle w:val="a5"/>
        <w:b/>
        <w:sz w:val="24"/>
      </w:rPr>
      <w:t>3</w:t>
    </w:r>
    <w:r>
      <w:rPr>
        <w:rStyle w:val="a5"/>
        <w:b/>
        <w:sz w:val="24"/>
      </w:rPr>
      <w:fldChar w:fldCharType="end"/>
    </w:r>
  </w:p>
  <w:p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0"/>
      <w:ind w:firstLine="0"/>
      <w:jc w:val="center"/>
      <w:rPr>
        <w:rFonts w:ascii="PT Astra Serif" w:hAnsi="PT Astra Serif"/>
        <w:b/>
        <w:lang w:val="en-US"/>
      </w:rPr>
    </w:pPr>
    <w:r>
      <w:rPr>
        <w:rFonts w:ascii="PT Astra Serif" w:hAnsi="PT Astra Serif"/>
      </w:rPr>
      <w:drawing>
        <wp:inline distT="0" distB="0" distL="0" distR="0">
          <wp:extent cx="720251" cy="654850"/>
          <wp:effectExtent l="0" t="0" r="0" b="0"/>
          <wp:docPr id="1" name="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251" cy="65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a3"/>
      <w:spacing w:before="0" w:after="0" w:line="360" w:lineRule="exact"/>
      <w:ind w:firstLine="0"/>
      <w:rPr>
        <w:rFonts w:ascii="PT Astra Serif" w:hAnsi="PT Astra Serif"/>
        <w:sz w:val="30"/>
        <w:szCs w:val="30"/>
        <w:lang w:val="en-US"/>
      </w:rPr>
    </w:pPr>
    <w:r>
      <w:rPr>
        <w:rFonts w:ascii="PT Astra Serif" w:hAnsi="PT Astra Serif"/>
        <w:sz w:val="30"/>
        <w:szCs w:val="30"/>
      </w:rPr>
      <w:t>ПРАВИТЕЛЬСТВО ТОМСКОЙ ОБЛАСТИ</w:t>
    </w:r>
  </w:p>
  <w:p>
    <w:pPr>
      <w:pStyle w:val="a3"/>
      <w:spacing w:before="240" w:after="0"/>
      <w:ind w:firstLine="0"/>
      <w:rPr>
        <w:rFonts w:ascii="PT Astra Serif" w:hAnsi="PT Astra Serif"/>
        <w:spacing w:val="20"/>
        <w:szCs w:val="28"/>
      </w:rPr>
    </w:pPr>
    <w:r>
      <w:rPr>
        <w:rFonts w:ascii="PT Astra Serif" w:hAnsi="PT Astra Serif"/>
        <w:spacing w:val="20"/>
        <w:szCs w:val="28"/>
      </w:rPr>
      <w:t>постановление</w:t>
    </w:r>
  </w:p>
  <w:p>
    <w:pPr>
      <w:pStyle w:val="a3"/>
      <w:spacing w:before="240" w:after="0"/>
      <w:ind w:firstLine="0"/>
      <w:rPr>
        <w:rFonts w:ascii="PT Astra Serif" w:hAnsi="PT Astra Serif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09"/>
    </w:pPr>
    <w:rPr>
      <w:sz w:val="26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styleId="TableGrid">
    <w:name w:val="Table Gri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single" w:sz="4" w:space="0" w:color="000000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000000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single" w:sz="4" w:space="0" w:color="000000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il"/>
          <w:left w:val="nil"/>
          <w:bottom w:val="single" w:sz="4" w:space="0" w:color="000000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single" w:sz="4" w:space="0" w:color="000000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il"/>
          <w:left w:val="nil"/>
          <w:bottom w:val="single" w:sz="4" w:space="0" w:color="000000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single" w:sz="4" w:space="0" w:color="000000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sz="4" w:space="0" w:color="000000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single" w:sz="4" w:space="0" w:color="000000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single" w:sz="4" w:space="0" w:color="000000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single" w:sz="4" w:space="0" w:color="000000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character" w:customStyle="1" w:styleId="a">
    <w:name w:val="Основной шрифт абзаца"/>
    <w:link w:val="Normal"/>
    <w:semiHidden/>
  </w:style>
  <w:style w:type="table" w:customStyle="1" w:styleId="a0">
    <w:name w:val="Обычная таблица"/>
    <w:link w:val="Normal"/>
    <w:semiHidden/>
    <w:tblPr/>
  </w:style>
  <w:style w:type="numbering" w:customStyle="1" w:styleId="a1">
    <w:name w:val="Нет списка"/>
    <w:link w:val="Normal"/>
    <w:semiHidden/>
  </w:style>
  <w:style w:type="paragraph" w:customStyle="1" w:styleId="a2">
    <w:name w:val="Основной текст"/>
    <w:basedOn w:val="Normal"/>
    <w:next w:val="Normal"/>
    <w:link w:val="Normal"/>
    <w:pPr>
      <w:ind w:firstLine="0"/>
      <w:jc w:val="both"/>
    </w:pPr>
    <w:rPr>
      <w:sz w:val="22"/>
    </w:rPr>
  </w:style>
  <w:style w:type="paragraph" w:customStyle="1" w:styleId="a3">
    <w:name w:val="Верхний колонтитул"/>
    <w:basedOn w:val="Normal"/>
    <w:link w:val="Normal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customStyle="1" w:styleId="a4">
    <w:name w:val="Нижний колонтитул"/>
    <w:basedOn w:val="Normal"/>
    <w:link w:val="Normal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"/>
    <w:link w:val="Normal"/>
  </w:style>
  <w:style w:type="paragraph" w:customStyle="1" w:styleId="a6">
    <w:name w:val="Название объекта"/>
    <w:basedOn w:val="Normal"/>
    <w:next w:val="Normal"/>
    <w:link w:val="Normal"/>
    <w:qFormat/>
    <w:pPr>
      <w:jc w:val="center"/>
    </w:pPr>
    <w:rPr>
      <w:b/>
      <w:sz w:val="28"/>
    </w:rPr>
  </w:style>
  <w:style w:type="paragraph" w:customStyle="1" w:styleId="2">
    <w:name w:val="Основной текст 2"/>
    <w:basedOn w:val="Normal"/>
    <w:link w:val="Normal"/>
    <w:pPr>
      <w:spacing w:before="120"/>
      <w:ind w:right="5102" w:firstLine="0"/>
      <w:jc w:val="center"/>
    </w:pPr>
  </w:style>
  <w:style w:type="paragraph" w:customStyle="1" w:styleId="a7">
    <w:name w:val="Обращение"/>
    <w:basedOn w:val="Normal"/>
    <w:next w:val="Normal"/>
    <w:link w:val="Normal"/>
    <w:pPr>
      <w:spacing w:before="240" w:after="120"/>
      <w:ind w:firstLine="0"/>
      <w:jc w:val="center"/>
    </w:pPr>
    <w:rPr>
      <w:b/>
    </w:rPr>
  </w:style>
  <w:style w:type="paragraph" w:customStyle="1" w:styleId="a8">
    <w:name w:val="Адресные реквизиты"/>
    <w:basedOn w:val="a2"/>
    <w:next w:val="a2"/>
    <w:link w:val="Normal"/>
    <w:pPr>
      <w:jc w:val="left"/>
    </w:pPr>
    <w:rPr>
      <w:sz w:val="16"/>
    </w:rPr>
  </w:style>
  <w:style w:type="paragraph" w:customStyle="1" w:styleId="a9">
    <w:name w:val="Адресат"/>
    <w:basedOn w:val="Normal"/>
    <w:link w:val="Normal"/>
    <w:pPr>
      <w:spacing w:before="120"/>
      <w:ind w:firstLine="0"/>
    </w:pPr>
    <w:rPr>
      <w:b/>
    </w:rPr>
  </w:style>
  <w:style w:type="paragraph" w:customStyle="1" w:styleId="3">
    <w:name w:val="Основной текст 3"/>
    <w:basedOn w:val="Normal"/>
    <w:link w:val="Normal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pt-a0-000031">
    <w:name w:val="pt-a0-000031"/>
    <w:link w:val="Normal"/>
  </w:style>
  <w:style w:type="paragraph" w:customStyle="1" w:styleId="pt-a-000029">
    <w:name w:val="pt-a-000029"/>
    <w:basedOn w:val="Normal"/>
    <w:link w:val="Normal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</Template>
  <TotalTime>0</TotalTime>
  <Pages>0</Pages>
  <Words>0</Words>
  <Characters>0</Characters>
  <Application>Microsoft Office Word</Application>
  <DocSecurity>0</DocSecurity>
  <Lines>0</Lines>
  <Paragraphs>0</Paragraphs>
  <ScaleCrop>false</ScaleCrop>
  <Company>Администрация Томской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revision>35</cp:revision>
  <dcterms:created xsi:type="dcterms:W3CDTF">2021-09-20T06:24:00Z</dcterms:created>
  <dcterms:modified xsi:type="dcterms:W3CDTF">2026-09-11T08:22:20Z</dcterms:modified>
  <cp:version>1048576</cp:version>
</cp:coreProperties>
</file>