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drawing>
          <wp:inline distT="0" distB="0" distL="0" distR="0">
            <wp:extent cx="647700" cy="609600"/>
            <wp:effectExtent l="0" t="0" r="0" b="0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 w:cs="Times New Roman"/>
          <w:b/>
          <w:sz w:val="30"/>
          <w:szCs w:val="30"/>
          <w:lang w:eastAsia="ru-RU"/>
        </w:rPr>
      </w:pPr>
      <w:r>
        <w:rPr>
          <w:rFonts w:ascii="PT Astra Serif" w:eastAsia="Times New Roman" w:hAnsi="PT Astra Serif" w:cs="Times New Roman"/>
          <w:b/>
          <w:sz w:val="30"/>
          <w:szCs w:val="30"/>
          <w:lang w:eastAsia="ru-RU"/>
        </w:rPr>
        <w:t xml:space="preserve">АДМИНИСТРАЦИЯ </w:t>
      </w:r>
      <w:r>
        <w:rPr>
          <w:rFonts w:ascii="PT Astra Serif" w:eastAsia="Times New Roman" w:hAnsi="PT Astra Serif" w:cs="Times New Roman"/>
          <w:b/>
          <w:sz w:val="30"/>
          <w:szCs w:val="30"/>
          <w:lang w:eastAsia="ru-RU"/>
        </w:rPr>
        <w:t>ТОМСКОЙ ОБЛАСТИ</w:t>
      </w:r>
    </w:p>
    <w:p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ab/>
      </w:r>
    </w:p>
    <w:p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О внесении изменений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в постановление Администрации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Томской области</w:t>
      </w:r>
    </w:p>
    <w:p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28.07.2025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345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а</w:t>
      </w:r>
    </w:p>
    <w:p>
      <w:pPr>
        <w:tabs>
          <w:tab w:val="left" w:pos="6078"/>
        </w:tabs>
        <w:spacing w:after="0" w:line="240" w:lineRule="auto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В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целях совершенствования нормативного правового акта</w:t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ПОСТАНОВЛЯЮ:</w:t>
      </w:r>
    </w:p>
    <w:p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Внести в постановление Администрации Томской области от </w:t>
      </w:r>
      <w:r>
        <w:rPr>
          <w:rFonts w:ascii="PT Astra Serif" w:eastAsia="Times New Roman" w:hAnsi="PT Astra Serif"/>
          <w:sz w:val="26"/>
          <w:szCs w:val="26"/>
          <w:lang w:eastAsia="ru-RU"/>
        </w:rPr>
        <w:t>28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.07.2025 № </w:t>
      </w:r>
      <w:r>
        <w:rPr>
          <w:rFonts w:ascii="PT Astra Serif" w:eastAsia="Times New Roman" w:hAnsi="PT Astra Serif"/>
          <w:sz w:val="26"/>
          <w:szCs w:val="26"/>
          <w:lang w:eastAsia="ru-RU"/>
        </w:rPr>
        <w:t>345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а «Об утверждении 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Положения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в сфере перевозок пассажиров и багажа легковым такси на территории Томской области</w:t>
      </w:r>
      <w:r>
        <w:rPr>
          <w:rFonts w:ascii="PT Astra Serif" w:eastAsia="Times New Roman" w:hAnsi="PT Astra Serif"/>
          <w:sz w:val="26"/>
          <w:szCs w:val="26"/>
          <w:lang w:eastAsia="ru-RU"/>
        </w:rPr>
        <w:t>»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(</w:t>
      </w:r>
      <w:r>
        <w:rPr>
          <w:rFonts w:ascii="PT Astra Serif" w:hAnsi="PT Astra Serif" w:cs="PT Astra Serif"/>
          <w:sz w:val="26"/>
          <w:szCs w:val="26"/>
        </w:rPr>
        <w:t xml:space="preserve">Собрание законодательства Томской области, </w:t>
      </w:r>
      <w:r>
        <w:rPr>
          <w:rFonts w:ascii="PT Astra Serif" w:hAnsi="PT Astra Serif" w:cs="PT Astra Serif"/>
          <w:sz w:val="26"/>
          <w:szCs w:val="26"/>
        </w:rPr>
        <w:t>2025,</w:t>
      </w:r>
      <w:r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№ 8/1, 2 (367), том 2)</w:t>
      </w:r>
      <w:r>
        <w:rPr>
          <w:rStyle w:val="pagesindoccount"/>
          <w:rFonts w:ascii="PT Astra Serif" w:hAnsi="PT Astra Serif"/>
          <w:sz w:val="26"/>
          <w:szCs w:val="26"/>
        </w:rPr>
        <w:t xml:space="preserve"> следующие</w:t>
      </w:r>
      <w:r>
        <w:rPr>
          <w:rStyle w:val="pagesindoccount"/>
          <w:rFonts w:ascii="PT Astra Serif" w:hAnsi="PT Astra Serif"/>
          <w:sz w:val="26"/>
          <w:szCs w:val="26"/>
        </w:rPr>
        <w:t xml:space="preserve"> изменения: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 xml:space="preserve">в Положении </w:t>
      </w:r>
      <w:r>
        <w:rPr>
          <w:rFonts w:ascii="PT Astra Serif" w:hAnsi="PT Astra Serif"/>
          <w:sz w:val="26"/>
          <w:szCs w:val="26"/>
        </w:rPr>
        <w:t xml:space="preserve">о региональном государственном контроле (надзоре) в сфере перевозок пассажиров и багажа легковым такси на территории Томской </w:t>
      </w:r>
      <w:r>
        <w:rPr>
          <w:rStyle w:val="pagesindoccount"/>
          <w:rFonts w:ascii="PT Astra Serif" w:hAnsi="PT Astra Serif"/>
          <w:sz w:val="26"/>
          <w:szCs w:val="26"/>
        </w:rPr>
        <w:t>области, утвержденном указанным постановлением: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>1) пункт</w:t>
      </w:r>
      <w:r>
        <w:rPr>
          <w:rStyle w:val="pagesindoccount"/>
          <w:rFonts w:ascii="PT Astra Serif" w:hAnsi="PT Astra Serif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sz w:val="26"/>
          <w:szCs w:val="26"/>
        </w:rPr>
        <w:t>5</w:t>
      </w:r>
      <w:r>
        <w:rPr>
          <w:rStyle w:val="pagesindoccount"/>
          <w:rFonts w:ascii="PT Astra Serif" w:hAnsi="PT Astra Serif"/>
          <w:sz w:val="26"/>
          <w:szCs w:val="26"/>
        </w:rPr>
        <w:t xml:space="preserve">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Style w:val="pagesindoccount"/>
          <w:sz w:val="26"/>
          <w:szCs w:val="26"/>
        </w:rPr>
        <w:t>«</w:t>
      </w:r>
      <w:r>
        <w:rPr>
          <w:rStyle w:val="pagesindoccount"/>
          <w:sz w:val="26"/>
          <w:szCs w:val="26"/>
        </w:rPr>
        <w:t>5</w:t>
      </w:r>
      <w:r>
        <w:rPr>
          <w:sz w:val="26"/>
          <w:szCs w:val="26"/>
        </w:rPr>
        <w:t>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</w:t>
      </w:r>
      <w:r>
        <w:rPr>
          <w:sz w:val="26"/>
          <w:szCs w:val="26"/>
        </w:rPr>
        <w:t>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</w:t>
      </w:r>
      <w:r>
        <w:rPr>
          <w:sz w:val="26"/>
          <w:szCs w:val="26"/>
        </w:rPr>
        <w:t>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>
      <w:pPr>
        <w:pStyle w:val="ConsPlusNormal"/>
        <w:ind w:firstLine="709"/>
        <w:jc w:val="both"/>
        <w:rPr>
          <w:rStyle w:val="pagesindoccount"/>
          <w:sz w:val="26"/>
          <w:szCs w:val="26"/>
        </w:rPr>
      </w:pPr>
      <w:r>
        <w:rPr>
          <w:sz w:val="26"/>
          <w:szCs w:val="26"/>
        </w:rPr>
        <w:t xml:space="preserve">Решение о </w:t>
      </w:r>
      <w:r>
        <w:rPr>
          <w:sz w:val="26"/>
          <w:szCs w:val="26"/>
        </w:rPr>
        <w:t>проведении контрольного (надзорного) мероприятия принимает начальник Департамента.</w:t>
      </w:r>
      <w:r>
        <w:rPr>
          <w:rStyle w:val="pagesindoccount"/>
          <w:sz w:val="26"/>
          <w:szCs w:val="26"/>
        </w:rPr>
        <w:t>»;</w:t>
      </w:r>
    </w:p>
    <w:p>
      <w:pPr>
        <w:pStyle w:val="ConsPlusNormal"/>
        <w:ind w:firstLine="709"/>
        <w:jc w:val="both"/>
        <w:rPr>
          <w:rStyle w:val="pagesindoccount"/>
          <w:sz w:val="26"/>
          <w:szCs w:val="26"/>
        </w:rPr>
      </w:pPr>
      <w:r>
        <w:rPr>
          <w:rStyle w:val="pagesindoccount"/>
          <w:sz w:val="26"/>
          <w:szCs w:val="26"/>
        </w:rPr>
        <w:t xml:space="preserve">2) </w:t>
      </w:r>
      <w:r>
        <w:rPr>
          <w:rStyle w:val="pagesindoccount"/>
          <w:sz w:val="26"/>
          <w:szCs w:val="26"/>
        </w:rPr>
        <w:t xml:space="preserve">абзац пятый </w:t>
      </w:r>
      <w:r>
        <w:rPr>
          <w:rStyle w:val="pagesindoccount"/>
          <w:sz w:val="26"/>
          <w:szCs w:val="26"/>
        </w:rPr>
        <w:t>пункт</w:t>
      </w:r>
      <w:r>
        <w:rPr>
          <w:rStyle w:val="pagesindoccount"/>
          <w:sz w:val="26"/>
          <w:szCs w:val="26"/>
        </w:rPr>
        <w:t>а</w:t>
      </w:r>
      <w:r>
        <w:rPr>
          <w:rStyle w:val="pagesindoccount"/>
          <w:sz w:val="26"/>
          <w:szCs w:val="26"/>
        </w:rPr>
        <w:t xml:space="preserve"> 1</w:t>
      </w:r>
      <w:r>
        <w:rPr>
          <w:rStyle w:val="pagesindoccount"/>
          <w:sz w:val="26"/>
          <w:szCs w:val="26"/>
        </w:rPr>
        <w:t>0</w:t>
      </w:r>
      <w:r>
        <w:rPr>
          <w:rStyle w:val="pagesindoccount"/>
          <w:sz w:val="26"/>
          <w:szCs w:val="26"/>
        </w:rPr>
        <w:t xml:space="preserve"> дополнить </w:t>
      </w:r>
      <w:r>
        <w:rPr>
          <w:rStyle w:val="pagesindoccount"/>
          <w:sz w:val="26"/>
          <w:szCs w:val="26"/>
        </w:rPr>
        <w:t>предложением</w:t>
      </w:r>
      <w:r>
        <w:rPr>
          <w:rStyle w:val="pagesindoccount"/>
          <w:sz w:val="26"/>
          <w:szCs w:val="26"/>
        </w:rPr>
        <w:t xml:space="preserve"> следующего содержания:</w:t>
      </w:r>
    </w:p>
    <w:p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>
        <w:rPr>
          <w:rStyle w:val="pagesindoccount"/>
          <w:sz w:val="26"/>
          <w:szCs w:val="26"/>
        </w:rPr>
        <w:t>«</w:t>
      </w:r>
      <w:r>
        <w:rPr>
          <w:rFonts w:cs="Times New Roman"/>
          <w:sz w:val="26"/>
          <w:szCs w:val="26"/>
        </w:rPr>
        <w:t>Объект контроля считается отнесенным к одной из категорий риска после внесения сведений в единый реестр видов контроля.»;</w:t>
      </w:r>
    </w:p>
    <w:p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3) пункт </w:t>
      </w:r>
      <w:r>
        <w:rPr>
          <w:rFonts w:cs="Times New Roman"/>
          <w:sz w:val="26"/>
          <w:szCs w:val="26"/>
        </w:rPr>
        <w:t>19</w:t>
      </w:r>
      <w:r>
        <w:rPr>
          <w:rFonts w:cs="Times New Roman"/>
          <w:sz w:val="26"/>
          <w:szCs w:val="26"/>
        </w:rPr>
        <w:t xml:space="preserve">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>«</w:t>
      </w:r>
      <w:r>
        <w:rPr>
          <w:rFonts w:cs="Times New Roman"/>
          <w:sz w:val="26"/>
          <w:szCs w:val="26"/>
        </w:rPr>
        <w:t>19</w:t>
      </w:r>
      <w:r>
        <w:rPr>
          <w:rFonts w:cs="Times New Roman"/>
          <w:sz w:val="26"/>
          <w:szCs w:val="26"/>
        </w:rPr>
        <w:t xml:space="preserve">. Инспекторы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осуществляют консультирование </w:t>
      </w:r>
      <w:r>
        <w:rPr>
          <w:sz w:val="26"/>
          <w:szCs w:val="26"/>
        </w:rPr>
        <w:t>в соответствии со статьей 50 Федерального закона № 248-ФЗ.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Консультирование может осуществляться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абзац второй пункта 30 исключить;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>) пункт 4</w:t>
      </w:r>
      <w:r>
        <w:rPr>
          <w:sz w:val="26"/>
          <w:szCs w:val="26"/>
        </w:rPr>
        <w:t>3</w:t>
      </w:r>
      <w:r>
        <w:rPr>
          <w:sz w:val="26"/>
          <w:szCs w:val="26"/>
        </w:rPr>
        <w:t xml:space="preserve"> дополнить</w:t>
      </w:r>
      <w:r>
        <w:rPr>
          <w:sz w:val="26"/>
          <w:szCs w:val="26"/>
        </w:rPr>
        <w:t xml:space="preserve"> подпунктами 3), 4) следующего содержания: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3) получение письменных объяснений (при выявлении нарушений обязательных требований);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опрос (при выявлении нарушений обязательных требований).</w:t>
      </w:r>
      <w:r>
        <w:rPr>
          <w:sz w:val="26"/>
          <w:szCs w:val="26"/>
        </w:rPr>
        <w:t>»;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) абзац первый пункта 5</w:t>
      </w:r>
      <w:r>
        <w:rPr>
          <w:sz w:val="26"/>
          <w:szCs w:val="26"/>
        </w:rPr>
        <w:t>0</w:t>
      </w:r>
      <w:r>
        <w:rPr>
          <w:sz w:val="26"/>
          <w:szCs w:val="26"/>
        </w:rPr>
        <w:t xml:space="preserve">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5</w:t>
      </w:r>
      <w:r>
        <w:rPr>
          <w:sz w:val="26"/>
          <w:szCs w:val="26"/>
        </w:rPr>
        <w:t>0</w:t>
      </w:r>
      <w:r>
        <w:rPr>
          <w:sz w:val="26"/>
          <w:szCs w:val="26"/>
        </w:rPr>
        <w:t xml:space="preserve">. Если имеющихся в распоряжении </w:t>
      </w:r>
      <w:r>
        <w:rPr>
          <w:sz w:val="26"/>
          <w:szCs w:val="26"/>
        </w:rPr>
        <w:t xml:space="preserve">у </w:t>
      </w:r>
      <w:r>
        <w:rPr>
          <w:sz w:val="26"/>
          <w:szCs w:val="26"/>
        </w:rPr>
        <w:t>Департамента</w:t>
      </w:r>
      <w:r>
        <w:rPr>
          <w:sz w:val="26"/>
          <w:szCs w:val="26"/>
        </w:rPr>
        <w:t xml:space="preserve"> сведений и документов недостаточно, то в ходе документарной проверки могут совершаться следующие контрольные (надзорные) действия:</w:t>
      </w:r>
      <w:r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абзац четвертый пункта 73 исключить</w:t>
      </w:r>
      <w:r>
        <w:rPr>
          <w:sz w:val="26"/>
          <w:szCs w:val="26"/>
        </w:rPr>
        <w:t>.</w:t>
      </w:r>
    </w:p>
    <w:p>
      <w:pPr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color w:val="FF0000"/>
          <w:sz w:val="26"/>
          <w:szCs w:val="26"/>
        </w:rPr>
      </w:pPr>
    </w:p>
    <w:p>
      <w:pPr>
        <w:tabs>
          <w:tab w:val="left" w:pos="600"/>
          <w:tab w:val="right" w:pos="9637"/>
        </w:tabs>
        <w:spacing w:after="0" w:line="240" w:lineRule="auto"/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Губернатор Томской области                                       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   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                              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    В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В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color w:val="000000" w:themeColor="text1"/>
          <w:sz w:val="26"/>
          <w:szCs w:val="26"/>
          <w:lang w:eastAsia="ru-RU"/>
        </w:rPr>
        <w:t>Мазур</w:t>
      </w: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FF0000"/>
          <w:sz w:val="26"/>
          <w:szCs w:val="26"/>
          <w:lang w:eastAsia="ru-RU"/>
        </w:rPr>
      </w:pPr>
    </w:p>
    <w:p>
      <w:pPr>
        <w:spacing w:after="0" w:line="240" w:lineRule="auto"/>
        <w:rPr>
          <w:rFonts w:ascii="PT Astra Serif" w:eastAsia="Times New Roman" w:hAnsi="PT Astra Serif" w:cs="Times New Roman"/>
          <w:color w:val="000000" w:themeColor="text1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lang w:eastAsia="ru-RU"/>
        </w:rPr>
        <w:t>Деев А.Н.</w:t>
      </w:r>
    </w:p>
    <w:sectPr>
      <w:headerReference w:type="default" r:id="rId6"/>
      <w:type w:val="nextPage"/>
      <w:pgSz w:w="11906" w:h="16838" w:orient="portrait"/>
      <w:pgMar w:top="1134" w:right="849" w:bottom="1134" w:left="1134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default"/>
  </w:font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6499795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>
            <w:rFonts w:ascii="PT Astra Serif" w:hAnsi="PT Astra Serif"/>
          </w:rPr>
        </w:pPr>
        <w:r>
          <w:rPr>
            <w:rFonts w:ascii="PT Astra Serif" w:hAnsi="PT Astra Serif"/>
          </w:rPr>
          <w:fldChar w:fldCharType="begin"/>
        </w:r>
        <w:r>
          <w:rPr>
            <w:rFonts w:ascii="PT Astra Serif" w:hAnsi="PT Astra Serif"/>
          </w:rPr>
          <w:instrText>PAGE   \* MERGEFORMAT</w:instrText>
        </w:r>
        <w:r>
          <w:rPr>
            <w:rFonts w:ascii="PT Astra Serif" w:hAnsi="PT Astra Serif"/>
          </w:rPr>
          <w:fldChar w:fldCharType="separate"/>
        </w:r>
        <w:r>
          <w:rPr>
            <w:rFonts w:ascii="PT Astra Serif" w:hAnsi="PT Astra Serif"/>
          </w:rPr>
          <w:t>3</w:t>
        </w:r>
        <w:r>
          <w:rPr>
            <w:rFonts w:ascii="PT Astra Serif" w:hAnsi="PT Astra Serif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EF0FFC3"/>
    <w:multiLevelType w:val="hybridMultilevel"/>
    <w:tmpl w:val="00000000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5C3288"/>
    <w:multiLevelType w:val="hybridMultilevel"/>
    <w:tmpl w:val="00000000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226444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hAnsi="PT Astra Serif" w:eastAsiaTheme="minorHAnsi" w:cs="PT Astra Serif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8C50391"/>
    <w:multiLevelType w:val="hybridMultilevel"/>
    <w:tmpl w:val="00000000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DE556A4"/>
    <w:multiLevelType w:val="hybridMultilevel"/>
    <w:tmpl w:val="00000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0315C"/>
    <w:multiLevelType w:val="hybridMultilevel"/>
    <w:tmpl w:val="00000000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 w:hint="default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FE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single" w:sz="4" w:space="0" w:color="000000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single" w:sz="4" w:space="0" w:color="00000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single" w:sz="4" w:space="0" w:color="000000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single" w:sz="4" w:space="0" w:color="000000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PT Astra Serif" w:eastAsia="Times New Roman" w:hAnsi="PT Astra Serif" w:cs="PT Astra Serif"/>
      <w:sz w:val="24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PT Astra Serif" w:eastAsia="Times New Roman" w:hAnsi="PT Astra Serif" w:cs="PT Astra Serif"/>
      <w:b/>
      <w:sz w:val="24"/>
      <w:szCs w:val="20"/>
      <w:lang w:eastAsia="ru-RU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 w:cs="Times New Roman"/>
      <w:b/>
      <w:bCs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pagesindoccount">
    <w:name w:val="pagesindoccount"/>
    <w:basedOn w:val="DefaultParagraphFont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41364-C55D-4F90-8508-18DD16D3D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revision>4</cp:revision>
  <dcterms:created xsi:type="dcterms:W3CDTF">2026-03-23T10:27:00Z</dcterms:created>
  <dcterms:modified xsi:type="dcterms:W3CDTF">2026-05-05T08:14:53Z</dcterms:modified>
</cp:coreProperties>
</file>