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.0 -->
  <w:body>
    <w:p>
      <w:pPr>
        <w:spacing w:after="120"/>
        <w:ind w:firstLine="0"/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</w:rPr>
        <w:drawing>
          <wp:inline distT="0" distB="0" distL="0" distR="0">
            <wp:extent cx="715645" cy="643890"/>
            <wp:effectExtent l="0" t="0" r="0" b="0"/>
            <wp:docPr id="1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Header"/>
        <w:spacing w:before="0" w:after="0" w:line="360" w:lineRule="exact"/>
        <w:ind w:firstLine="0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АДМИНИСТРАЦИЯ ТОМСКОЙ ОБЛАСТИ</w:t>
      </w:r>
    </w:p>
    <w:p>
      <w:pPr>
        <w:pStyle w:val="Header"/>
        <w:spacing w:before="240" w:after="0"/>
        <w:ind w:firstLine="0"/>
        <w:rPr>
          <w:rFonts w:ascii="PT Astra Serif" w:eastAsia="PT Astra Serif" w:hAnsi="PT Astra Serif" w:cs="PT Astra Serif"/>
          <w:spacing w:val="20"/>
          <w:sz w:val="26"/>
          <w:szCs w:val="26"/>
        </w:rPr>
      </w:pPr>
      <w:r>
        <w:rPr>
          <w:rFonts w:ascii="PT Astra Serif" w:eastAsia="PT Astra Serif" w:hAnsi="PT Astra Serif" w:cs="PT Astra Serif"/>
          <w:spacing w:val="20"/>
          <w:sz w:val="26"/>
          <w:szCs w:val="26"/>
        </w:rPr>
        <w:t>постановление</w:t>
      </w:r>
    </w:p>
    <w:p>
      <w:pPr>
        <w:pStyle w:val="Header"/>
        <w:spacing w:before="240" w:after="0"/>
        <w:ind w:firstLine="0"/>
        <w:rPr>
          <w:rFonts w:ascii="PT Astra Serif" w:eastAsia="PT Astra Serif" w:hAnsi="PT Astra Serif" w:cs="PT Astra Serif"/>
          <w:sz w:val="26"/>
          <w:szCs w:val="26"/>
        </w:rPr>
      </w:pPr>
    </w:p>
    <w:p>
      <w:pPr>
        <w:pStyle w:val="BodyText2"/>
        <w:spacing w:after="480"/>
        <w:ind w:right="0"/>
        <w:jc w:val="left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 xml:space="preserve">___________                                                                                                   № _________ </w:t>
      </w:r>
    </w:p>
    <w:p>
      <w:pPr>
        <w:ind w:firstLine="0"/>
        <w:jc w:val="center"/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</w:rPr>
        <w:t xml:space="preserve">       </w:t>
      </w:r>
      <w:r>
        <w:rPr>
          <w:rFonts w:ascii="PT Astra Serif" w:eastAsia="PT Astra Serif" w:hAnsi="PT Astra Serif" w:cs="PT Astra Serif"/>
          <w:sz w:val="26"/>
        </w:rPr>
        <w:t xml:space="preserve">О внесении изменений в постановление Администрации Томской области </w:t>
      </w:r>
    </w:p>
    <w:p>
      <w:pPr>
        <w:ind w:firstLine="0"/>
        <w:jc w:val="center"/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sz w:val="26"/>
        </w:rPr>
        <w:t xml:space="preserve">от </w:t>
      </w:r>
      <w:r>
        <w:rPr>
          <w:rFonts w:ascii="PT Astra Serif" w:eastAsia="PT Astra Serif" w:hAnsi="PT Astra Serif" w:cs="PT Astra Serif"/>
          <w:sz w:val="26"/>
        </w:rPr>
        <w:t>30</w:t>
      </w:r>
      <w:r>
        <w:rPr>
          <w:rFonts w:ascii="PT Astra Serif" w:eastAsia="PT Astra Serif" w:hAnsi="PT Astra Serif" w:cs="PT Astra Serif"/>
          <w:sz w:val="26"/>
        </w:rPr>
        <w:t>.</w:t>
      </w:r>
      <w:r>
        <w:rPr>
          <w:rFonts w:ascii="PT Astra Serif" w:eastAsia="PT Astra Serif" w:hAnsi="PT Astra Serif" w:cs="PT Astra Serif"/>
          <w:sz w:val="26"/>
        </w:rPr>
        <w:t>09</w:t>
      </w:r>
      <w:r>
        <w:rPr>
          <w:rFonts w:ascii="PT Astra Serif" w:eastAsia="PT Astra Serif" w:hAnsi="PT Astra Serif" w:cs="PT Astra Serif"/>
          <w:sz w:val="26"/>
        </w:rPr>
        <w:t>.2021 № 41</w:t>
      </w:r>
      <w:r>
        <w:rPr>
          <w:rFonts w:ascii="PT Astra Serif" w:eastAsia="PT Astra Serif" w:hAnsi="PT Astra Serif" w:cs="PT Astra Serif"/>
          <w:sz w:val="26"/>
        </w:rPr>
        <w:t>7</w:t>
      </w:r>
      <w:r>
        <w:rPr>
          <w:rFonts w:ascii="PT Astra Serif" w:eastAsia="PT Astra Serif" w:hAnsi="PT Astra Serif" w:cs="PT Astra Serif"/>
          <w:sz w:val="26"/>
        </w:rPr>
        <w:t>а</w:t>
      </w:r>
    </w:p>
    <w:p>
      <w:pPr>
        <w:ind w:firstLine="0"/>
        <w:rPr>
          <w:rFonts w:ascii="PT Astra Serif" w:eastAsia="PT Astra Serif" w:hAnsi="PT Astra Serif" w:cs="PT Astra Serif"/>
          <w:sz w:val="26"/>
        </w:rPr>
      </w:pPr>
    </w:p>
    <w:p>
      <w:pPr>
        <w:ind w:left="0" w:right="0" w:firstLine="709"/>
        <w:rPr>
          <w:rFonts w:ascii="PT Astra Serif" w:eastAsia="PT Astra Serif" w:hAnsi="PT Astra Serif" w:cs="PT Astra Serif"/>
          <w:sz w:val="26"/>
        </w:rPr>
      </w:pPr>
      <w:bookmarkStart w:id="0" w:name="sub_108"/>
      <w:r>
        <w:rPr>
          <w:rFonts w:ascii="PT Astra Serif" w:eastAsia="PT Astra Serif" w:hAnsi="PT Astra Serif" w:cs="PT Astra Serif"/>
          <w:sz w:val="26"/>
        </w:rPr>
        <w:t>В целях совершенствования нормативного правового акта</w:t>
      </w:r>
      <w:bookmarkEnd w:id="0"/>
    </w:p>
    <w:p>
      <w:pPr>
        <w:ind w:left="0" w:right="0" w:firstLine="709"/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sz w:val="26"/>
        </w:rPr>
        <w:t>ПОСТАНОВЛЯЮ:</w:t>
      </w:r>
    </w:p>
    <w:p>
      <w:pPr>
        <w:ind w:left="0" w:right="0" w:firstLine="709"/>
        <w:rPr>
          <w:rFonts w:ascii="PT Astra Serif" w:eastAsia="PT Astra Serif" w:hAnsi="PT Astra Serif" w:cs="PT Astra Serif"/>
          <w:sz w:val="26"/>
        </w:rPr>
      </w:pPr>
      <w:bookmarkStart w:id="1" w:name="sub_800"/>
      <w:r>
        <w:rPr>
          <w:rFonts w:ascii="PT Astra Serif" w:eastAsia="PT Astra Serif" w:hAnsi="PT Astra Serif" w:cs="PT Astra Serif"/>
          <w:sz w:val="26"/>
        </w:rPr>
        <w:t xml:space="preserve">1. </w:t>
      </w:r>
      <w:r>
        <w:rPr>
          <w:rFonts w:ascii="PT Astra Serif" w:eastAsia="PT Astra Serif" w:hAnsi="PT Astra Serif" w:cs="PT Astra Serif"/>
          <w:sz w:val="26"/>
        </w:rPr>
        <w:t xml:space="preserve">Внести в постановление Администрации Томской области от </w:t>
      </w:r>
      <w:r>
        <w:rPr>
          <w:rFonts w:ascii="PT Astra Serif" w:eastAsia="PT Astra Serif" w:hAnsi="PT Astra Serif" w:cs="PT Astra Serif"/>
          <w:sz w:val="26"/>
        </w:rPr>
        <w:t>30</w:t>
      </w:r>
      <w:r>
        <w:rPr>
          <w:rFonts w:ascii="PT Astra Serif" w:eastAsia="PT Astra Serif" w:hAnsi="PT Astra Serif" w:cs="PT Astra Serif"/>
          <w:sz w:val="26"/>
        </w:rPr>
        <w:t>.</w:t>
      </w:r>
      <w:r>
        <w:rPr>
          <w:rFonts w:ascii="PT Astra Serif" w:eastAsia="PT Astra Serif" w:hAnsi="PT Astra Serif" w:cs="PT Astra Serif"/>
          <w:sz w:val="26"/>
        </w:rPr>
        <w:t>09</w:t>
      </w:r>
      <w:r>
        <w:rPr>
          <w:rFonts w:ascii="PT Astra Serif" w:eastAsia="PT Astra Serif" w:hAnsi="PT Astra Serif" w:cs="PT Astra Serif"/>
          <w:sz w:val="26"/>
        </w:rPr>
        <w:t>.2021 № 41</w:t>
      </w:r>
      <w:r>
        <w:rPr>
          <w:rFonts w:ascii="PT Astra Serif" w:eastAsia="PT Astra Serif" w:hAnsi="PT Astra Serif" w:cs="PT Astra Serif"/>
          <w:sz w:val="26"/>
        </w:rPr>
        <w:t>7</w:t>
      </w:r>
      <w:r>
        <w:rPr>
          <w:rFonts w:ascii="PT Astra Serif" w:eastAsia="PT Astra Serif" w:hAnsi="PT Astra Serif" w:cs="PT Astra Serif"/>
          <w:sz w:val="26"/>
        </w:rPr>
        <w:t xml:space="preserve">а </w:t>
      </w:r>
      <w:r>
        <w:rPr>
          <w:rFonts w:ascii="PT Astra Serif" w:eastAsia="PT Astra Serif" w:hAnsi="PT Astra Serif" w:cs="PT Astra Serif"/>
          <w:sz w:val="26"/>
        </w:rPr>
        <w:t>«</w:t>
      </w:r>
      <w:r>
        <w:rPr>
          <w:rFonts w:ascii="PT Astra Serif" w:eastAsia="PT Astra Serif" w:hAnsi="PT Astra Serif" w:cs="PT Astra Serif"/>
          <w:sz w:val="26"/>
        </w:rPr>
        <w:t>Об утверждении Положения о региональном государственном контроле (надзоре) за состоянием Музейного фонда Российской Федерации на территории Томской области</w:t>
      </w:r>
      <w:r>
        <w:rPr>
          <w:rFonts w:ascii="PT Astra Serif" w:eastAsia="PT Astra Serif" w:hAnsi="PT Astra Serif" w:cs="PT Astra Serif"/>
          <w:sz w:val="26"/>
        </w:rPr>
        <w:t>» («</w:t>
      </w:r>
      <w:r>
        <w:rPr>
          <w:rFonts w:ascii="PT Astra Serif" w:eastAsia="PT Astra Serif" w:hAnsi="PT Astra Serif" w:cs="PT Astra Serif"/>
          <w:sz w:val="26"/>
        </w:rPr>
        <w:t>Собрание законодательства Томской области</w:t>
      </w:r>
      <w:r>
        <w:rPr>
          <w:rFonts w:ascii="PT Astra Serif" w:eastAsia="PT Astra Serif" w:hAnsi="PT Astra Serif" w:cs="PT Astra Serif"/>
          <w:sz w:val="26"/>
        </w:rPr>
        <w:t>»</w:t>
      </w:r>
      <w:r>
        <w:rPr>
          <w:rFonts w:ascii="PT Astra Serif" w:eastAsia="PT Astra Serif" w:hAnsi="PT Astra Serif" w:cs="PT Astra Serif"/>
          <w:sz w:val="26"/>
        </w:rPr>
        <w:t>, 2021, N</w:t>
      </w:r>
      <w:r>
        <w:rPr>
          <w:rFonts w:ascii="PT Astra Serif" w:eastAsia="PT Astra Serif" w:hAnsi="PT Astra Serif" w:cs="PT Astra Serif"/>
          <w:sz w:val="26"/>
        </w:rPr>
        <w:t>№</w:t>
      </w:r>
      <w:r>
        <w:rPr>
          <w:rFonts w:ascii="PT Astra Serif" w:eastAsia="PT Astra Serif" w:hAnsi="PT Astra Serif" w:cs="PT Astra Serif"/>
          <w:sz w:val="26"/>
        </w:rPr>
        <w:t> 10/1(276)</w:t>
      </w:r>
      <w:r>
        <w:rPr>
          <w:rFonts w:ascii="PT Astra Serif" w:eastAsia="PT Astra Serif" w:hAnsi="PT Astra Serif" w:cs="PT Astra Serif"/>
          <w:sz w:val="26"/>
        </w:rPr>
        <w:t xml:space="preserve"> следующие изменения:</w:t>
      </w:r>
    </w:p>
    <w:p>
      <w:pPr>
        <w:ind w:left="0" w:right="0" w:firstLine="709"/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sz w:val="26"/>
        </w:rPr>
        <w:t xml:space="preserve">в </w:t>
      </w:r>
      <w:r>
        <w:rPr>
          <w:rFonts w:ascii="PT Astra Serif" w:eastAsia="PT Astra Serif" w:hAnsi="PT Astra Serif" w:cs="PT Astra Serif"/>
          <w:sz w:val="26"/>
        </w:rPr>
        <w:t>П</w:t>
      </w:r>
      <w:r>
        <w:rPr>
          <w:rFonts w:ascii="PT Astra Serif" w:eastAsia="PT Astra Serif" w:hAnsi="PT Astra Serif" w:cs="PT Astra Serif"/>
          <w:sz w:val="26"/>
        </w:rPr>
        <w:t>оложени</w:t>
      </w:r>
      <w:r>
        <w:rPr>
          <w:rFonts w:ascii="PT Astra Serif" w:eastAsia="PT Astra Serif" w:hAnsi="PT Astra Serif" w:cs="PT Astra Serif"/>
          <w:sz w:val="26"/>
        </w:rPr>
        <w:t>и</w:t>
      </w:r>
      <w:r>
        <w:rPr>
          <w:rFonts w:ascii="PT Astra Serif" w:eastAsia="PT Astra Serif" w:hAnsi="PT Astra Serif" w:cs="PT Astra Serif"/>
          <w:sz w:val="26"/>
        </w:rPr>
        <w:t xml:space="preserve"> о региональном государственном контроле (надзоре) за состоянием Музейного фонда Российской Федерации на территории Томской области</w:t>
      </w:r>
      <w:r>
        <w:rPr>
          <w:rFonts w:ascii="PT Astra Serif" w:eastAsia="PT Astra Serif" w:hAnsi="PT Astra Serif" w:cs="PT Astra Serif"/>
          <w:sz w:val="26"/>
        </w:rPr>
        <w:t>, утвержденном указанным постановлением:</w:t>
      </w:r>
    </w:p>
    <w:p>
      <w:pPr>
        <w:pStyle w:val="ListParagraph"/>
        <w:ind w:left="0" w:right="0" w:firstLine="709"/>
        <w:rPr>
          <w:rFonts w:ascii="PT Astra Serif" w:eastAsia="PT Astra Serif" w:hAnsi="PT Astra Serif" w:cs="PT Astra Serif"/>
          <w:sz w:val="26"/>
        </w:rPr>
      </w:pPr>
      <w:r>
        <w:rPr>
          <w:rFonts w:ascii="PT Astra Serif" w:eastAsia="PT Astra Serif" w:hAnsi="PT Astra Serif" w:cs="PT Astra Serif"/>
          <w:sz w:val="26"/>
        </w:rPr>
        <w:t xml:space="preserve">1) </w:t>
      </w:r>
      <w:r>
        <w:rPr>
          <w:rFonts w:ascii="PT Astra Serif" w:eastAsia="PT Astra Serif" w:hAnsi="PT Astra Serif" w:cs="PT Astra Serif"/>
          <w:sz w:val="26"/>
        </w:rPr>
        <w:t xml:space="preserve">дополнить пунктом </w:t>
      </w:r>
      <w:r>
        <w:rPr>
          <w:rFonts w:ascii="PT Astra Serif" w:eastAsia="PT Astra Serif" w:hAnsi="PT Astra Serif" w:cs="PT Astra Serif"/>
          <w:sz w:val="26"/>
        </w:rPr>
        <w:t>4-</w:t>
      </w:r>
      <w:r>
        <w:rPr>
          <w:rFonts w:ascii="PT Astra Serif" w:eastAsia="PT Astra Serif" w:hAnsi="PT Astra Serif" w:cs="PT Astra Serif"/>
          <w:sz w:val="26"/>
        </w:rPr>
        <w:t>1 следующего содержания:</w:t>
      </w:r>
    </w:p>
    <w:p>
      <w:pPr>
        <w:pStyle w:val="NormalWeb"/>
        <w:spacing w:before="0" w:beforeAutospacing="0" w:after="0" w:afterAutospacing="0" w:line="232" w:lineRule="atLeast"/>
        <w:ind w:left="0" w:right="0" w:firstLine="709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«</w:t>
      </w:r>
      <w:r>
        <w:rPr>
          <w:rFonts w:ascii="PT Astra Serif" w:hAnsi="PT Astra Serif" w:eastAsiaTheme="minorEastAsia" w:cs="PT Astra Serif"/>
          <w:sz w:val="26"/>
        </w:rPr>
        <w:t>4-</w:t>
      </w:r>
      <w:r>
        <w:rPr>
          <w:rFonts w:ascii="PT Astra Serif" w:hAnsi="PT Astra Serif" w:eastAsiaTheme="minorEastAsia" w:cs="PT Astra Serif"/>
          <w:sz w:val="26"/>
        </w:rPr>
        <w:t xml:space="preserve">1. </w:t>
      </w:r>
      <w:r>
        <w:rPr>
          <w:rFonts w:ascii="PT Astra Serif" w:hAnsi="PT Astra Serif" w:eastAsiaTheme="minorEastAsia" w:cs="PT Astra Serif"/>
          <w:sz w:val="26"/>
        </w:rPr>
        <w:t>Решения о проведении профилактического визита, об о</w:t>
      </w:r>
      <w:r>
        <w:rPr>
          <w:rFonts w:ascii="PT Astra Serif" w:hAnsi="PT Astra Serif" w:eastAsiaTheme="minorEastAsia" w:cs="PT Astra Serif"/>
          <w:sz w:val="26"/>
        </w:rPr>
        <w:t>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</w:t>
      </w:r>
      <w:r>
        <w:rPr>
          <w:rFonts w:ascii="PT Astra Serif" w:hAnsi="PT Astra Serif" w:eastAsiaTheme="minorEastAsia" w:cs="PT Astra Serif"/>
          <w:sz w:val="26"/>
        </w:rPr>
        <w:t xml:space="preserve"> и </w:t>
      </w:r>
      <w:r>
        <w:rPr>
          <w:rFonts w:ascii="PT Astra Serif" w:hAnsi="PT Astra Serif" w:eastAsiaTheme="minorEastAsia" w:cs="PT Astra Serif"/>
          <w:sz w:val="26"/>
        </w:rPr>
        <w:t>предписания об устранении выявленных нарушений</w:t>
      </w:r>
      <w:r>
        <w:rPr>
          <w:rFonts w:ascii="PT Astra Serif" w:hAnsi="PT Astra Serif" w:eastAsiaTheme="minorEastAsia" w:cs="PT Astra Serif"/>
          <w:sz w:val="26"/>
        </w:rPr>
        <w:t xml:space="preserve"> оформляются посредством внесения сведений о них в единый реестр контрольных (надзорных) мероприятий и их подписания.</w:t>
      </w:r>
      <w:r>
        <w:rPr>
          <w:rFonts w:ascii="PT Astra Serif" w:hAnsi="PT Astra Serif" w:eastAsiaTheme="minorEastAsia" w:cs="PT Astra Serif"/>
          <w:sz w:val="26"/>
        </w:rPr>
        <w:t xml:space="preserve"> Для оформления указанных решений, актов и предписаний отдельное формирование документа не требуется</w:t>
      </w:r>
      <w:r>
        <w:rPr>
          <w:rFonts w:ascii="PT Astra Serif" w:hAnsi="PT Astra Serif" w:eastAsiaTheme="minorEastAsia" w:cs="PT Astra Serif"/>
          <w:sz w:val="26"/>
        </w:rPr>
        <w:t>.</w:t>
      </w:r>
      <w:r>
        <w:rPr>
          <w:rFonts w:ascii="PT Astra Serif" w:hAnsi="PT Astra Serif" w:eastAsiaTheme="minorEastAsia" w:cs="PT Astra Serif" w:hint="eastAsia"/>
          <w:sz w:val="26"/>
        </w:rPr>
        <w:t>»</w:t>
      </w:r>
    </w:p>
    <w:p>
      <w:pPr>
        <w:pStyle w:val="ListParagraph"/>
        <w:ind w:left="0" w:right="0" w:firstLine="709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 xml:space="preserve">2) </w:t>
      </w:r>
      <w:r>
        <w:rPr>
          <w:rFonts w:ascii="PT Astra Serif" w:hAnsi="PT Astra Serif" w:eastAsiaTheme="minorEastAsia" w:cs="PT Astra Serif"/>
          <w:sz w:val="26"/>
        </w:rPr>
        <w:t xml:space="preserve">дополнить пунктом </w:t>
      </w:r>
      <w:r>
        <w:rPr>
          <w:rFonts w:ascii="PT Astra Serif" w:hAnsi="PT Astra Serif" w:eastAsiaTheme="minorEastAsia" w:cs="PT Astra Serif"/>
          <w:sz w:val="26"/>
        </w:rPr>
        <w:t>9-</w:t>
      </w:r>
      <w:r>
        <w:rPr>
          <w:rFonts w:ascii="PT Astra Serif" w:hAnsi="PT Astra Serif" w:eastAsiaTheme="minorEastAsia" w:cs="PT Astra Serif"/>
          <w:sz w:val="26"/>
        </w:rPr>
        <w:t>1 следующего содержания:</w:t>
      </w:r>
    </w:p>
    <w:p>
      <w:pPr>
        <w:pStyle w:val="NormalWeb"/>
        <w:spacing w:before="0" w:beforeAutospacing="0" w:after="0" w:afterAutospacing="0"/>
        <w:ind w:left="0" w:right="0" w:firstLine="709"/>
        <w:jc w:val="both"/>
        <w:rPr>
          <w:rFonts w:ascii="PT Astra Serif" w:hAnsi="PT Astra Serif" w:eastAsiaTheme="minorEastAsia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«</w:t>
      </w:r>
      <w:r>
        <w:rPr>
          <w:rFonts w:ascii="PT Astra Serif" w:hAnsi="PT Astra Serif" w:eastAsiaTheme="minorEastAsia" w:cs="PT Astra Serif"/>
          <w:sz w:val="26"/>
        </w:rPr>
        <w:t>9-</w:t>
      </w:r>
      <w:r>
        <w:rPr>
          <w:rFonts w:ascii="PT Astra Serif" w:hAnsi="PT Astra Serif" w:eastAsiaTheme="minorEastAsia" w:cs="PT Astra Serif"/>
          <w:sz w:val="26"/>
        </w:rPr>
        <w:t>1. Объект контроля считается отнесенным к одной из категорий риска после внесения сведений</w:t>
      </w:r>
      <w:r>
        <w:rPr>
          <w:rFonts w:ascii="PT Astra Serif" w:hAnsi="PT Astra Serif" w:eastAsiaTheme="minorEastAsia" w:cs="PT Astra Serif"/>
          <w:sz w:val="26"/>
        </w:rPr>
        <w:t xml:space="preserve"> в единый реестр видов контроля</w:t>
      </w:r>
      <w:r>
        <w:rPr>
          <w:rFonts w:ascii="PT Astra Serif" w:hAnsi="PT Astra Serif" w:eastAsiaTheme="minorEastAsia" w:cs="PT Astra Serif" w:hint="eastAsia"/>
          <w:sz w:val="26"/>
        </w:rPr>
        <w:t>.»</w:t>
      </w:r>
      <w:r>
        <w:rPr>
          <w:rFonts w:ascii="PT Astra Serif" w:hAnsi="PT Astra Serif" w:eastAsiaTheme="minorEastAsia" w:cs="PT Astra Serif"/>
          <w:sz w:val="26"/>
        </w:rPr>
        <w:t>;</w:t>
      </w:r>
    </w:p>
    <w:p>
      <w:pPr>
        <w:pStyle w:val="ConsPlusNormal"/>
        <w:ind w:left="0" w:right="0" w:firstLine="709"/>
        <w:jc w:val="both"/>
        <w:rPr>
          <w:rFonts w:ascii="PT Astra Serif" w:eastAsia="PT Astra Serif" w:hAnsi="PT Astra Serif" w:cs="PT Astra Serif"/>
          <w:sz w:val="26"/>
          <w:szCs w:val="24"/>
        </w:rPr>
      </w:pPr>
      <w:r>
        <w:rPr>
          <w:rFonts w:ascii="PT Astra Serif" w:hAnsi="PT Astra Serif" w:eastAsiaTheme="minorEastAsia" w:cs="PT Astra Serif"/>
          <w:sz w:val="26"/>
          <w:szCs w:val="24"/>
        </w:rPr>
        <w:t>3</w:t>
      </w:r>
      <w:r>
        <w:rPr>
          <w:rFonts w:ascii="PT Astra Serif" w:hAnsi="PT Astra Serif" w:eastAsiaTheme="minorEastAsia" w:cs="PT Astra Serif"/>
          <w:sz w:val="26"/>
          <w:szCs w:val="24"/>
        </w:rPr>
        <w:t xml:space="preserve">) </w:t>
      </w:r>
      <w:r>
        <w:rPr>
          <w:rFonts w:ascii="PT Astra Serif" w:hAnsi="PT Astra Serif" w:eastAsiaTheme="minorEastAsia" w:cs="PT Astra Serif"/>
          <w:sz w:val="26"/>
          <w:szCs w:val="24"/>
        </w:rPr>
        <w:t>пункт 15 дополнить абзацем следующего содержания</w:t>
      </w:r>
      <w:r>
        <w:rPr>
          <w:rFonts w:ascii="PT Astra Serif" w:hAnsi="PT Astra Serif" w:eastAsiaTheme="minorEastAsia" w:cs="PT Astra Serif"/>
          <w:sz w:val="26"/>
          <w:szCs w:val="24"/>
        </w:rPr>
        <w:t>:</w:t>
      </w:r>
      <w:r>
        <w:rPr>
          <w:rFonts w:ascii="PT Astra Serif" w:hAnsi="PT Astra Serif" w:eastAsiaTheme="minorEastAsia" w:cs="PT Astra Serif"/>
          <w:sz w:val="26"/>
          <w:szCs w:val="24"/>
        </w:rPr>
        <w:t xml:space="preserve"> </w:t>
      </w:r>
    </w:p>
    <w:p>
      <w:pPr>
        <w:pStyle w:val="ConsPlusNormal"/>
        <w:ind w:left="0" w:right="0" w:firstLine="709"/>
        <w:jc w:val="both"/>
        <w:rPr>
          <w:rFonts w:ascii="PT Astra Serif" w:eastAsia="PT Astra Serif" w:hAnsi="PT Astra Serif" w:cs="PT Astra Serif"/>
          <w:sz w:val="26"/>
          <w:szCs w:val="24"/>
          <w:highlight w:val="none"/>
        </w:rPr>
      </w:pPr>
      <w:r>
        <w:rPr>
          <w:rFonts w:ascii="PT Astra Serif" w:hAnsi="PT Astra Serif" w:eastAsiaTheme="minorEastAsia" w:cs="PT Astra Serif"/>
          <w:sz w:val="26"/>
          <w:szCs w:val="24"/>
        </w:rPr>
        <w:t xml:space="preserve">«Контролируемое лицо вправе подать возражение посредством единого портала государственных и </w:t>
      </w:r>
      <w:r>
        <w:rPr>
          <w:rFonts w:ascii="PT Astra Serif" w:hAnsi="PT Astra Serif" w:eastAsiaTheme="minorEastAsia" w:cs="PT Astra Serif"/>
          <w:sz w:val="26"/>
          <w:szCs w:val="24"/>
        </w:rPr>
        <w:t>муниципальных услуг.»;</w:t>
      </w:r>
      <w:r>
        <w:rPr>
          <w:rFonts w:ascii="PT Astra Serif" w:hAnsi="PT Astra Serif" w:eastAsiaTheme="minorEastAsia" w:cs="PT Astra Serif"/>
          <w:sz w:val="26"/>
          <w:szCs w:val="24"/>
        </w:rPr>
        <w:t xml:space="preserve"> </w:t>
      </w:r>
    </w:p>
    <w:p>
      <w:pPr>
        <w:pStyle w:val="ConsPlusNormal"/>
        <w:ind w:left="0" w:right="0" w:firstLine="709"/>
        <w:jc w:val="both"/>
        <w:rPr>
          <w:rFonts w:ascii="PT Astra Serif" w:eastAsia="PT Astra Serif" w:hAnsi="PT Astra Serif" w:cs="PT Astra Serif"/>
          <w:sz w:val="26"/>
          <w:szCs w:val="24"/>
          <w:highlight w:val="none"/>
        </w:rPr>
      </w:pPr>
      <w:r>
        <w:rPr>
          <w:rFonts w:ascii="PT Astra Serif" w:hAnsi="PT Astra Serif" w:eastAsiaTheme="minorEastAsia" w:cs="PT Astra Serif"/>
          <w:sz w:val="26"/>
          <w:szCs w:val="24"/>
          <w:highlight w:val="none"/>
        </w:rPr>
        <w:t xml:space="preserve">4) </w:t>
      </w:r>
      <w:r>
        <w:rPr>
          <w:rFonts w:ascii="PT Astra Serif" w:hAnsi="PT Astra Serif" w:eastAsiaTheme="minorEastAsia" w:cs="PT Astra Serif"/>
          <w:sz w:val="26"/>
          <w:szCs w:val="24"/>
        </w:rPr>
        <w:t>пункт 18 изложить в следующей редакции</w:t>
      </w:r>
      <w:r>
        <w:rPr>
          <w:rFonts w:ascii="PT Astra Serif" w:hAnsi="PT Astra Serif" w:eastAsiaTheme="minorEastAsia" w:cs="PT Astra Serif"/>
          <w:sz w:val="26"/>
          <w:szCs w:val="24"/>
        </w:rPr>
        <w:t>:</w:t>
      </w:r>
    </w:p>
    <w:p>
      <w:pPr>
        <w:pStyle w:val="ConsPlusNormal"/>
        <w:ind w:left="0" w:right="0" w:firstLine="709"/>
        <w:jc w:val="both"/>
        <w:rPr>
          <w:rFonts w:ascii="PT Astra Serif" w:eastAsia="PT Astra Serif" w:hAnsi="PT Astra Serif" w:cs="PT Astra Serif"/>
          <w:color w:val="000000"/>
          <w:sz w:val="26"/>
          <w:szCs w:val="24"/>
          <w:highlight w:val="none"/>
        </w:rPr>
      </w:pPr>
      <w:r>
        <w:rPr>
          <w:rFonts w:ascii="PT Astra Serif" w:hAnsi="PT Astra Serif" w:eastAsiaTheme="minorEastAsia" w:cs="PT Astra Serif"/>
          <w:sz w:val="26"/>
          <w:szCs w:val="24"/>
          <w:highlight w:val="none"/>
        </w:rPr>
        <w:t xml:space="preserve">«18. </w:t>
      </w:r>
      <w:r>
        <w:rPr>
          <w:rFonts w:ascii="PT Astra Serif" w:hAnsi="PT Astra Serif" w:eastAsiaTheme="minorEastAsia" w:cs="PT Astra Serif"/>
          <w:color w:val="000000" w:themeColor="text1"/>
          <w:sz w:val="26"/>
        </w:rPr>
        <w:t>Должностное лицо Департамента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</w:t>
      </w:r>
      <w:r>
        <w:rPr>
          <w:rFonts w:ascii="PT Astra Serif" w:hAnsi="PT Astra Serif" w:eastAsiaTheme="minorEastAsia" w:cs="PT Astra Serif"/>
          <w:color w:val="000000" w:themeColor="text1"/>
          <w:sz w:val="26"/>
        </w:rPr>
        <w:t xml:space="preserve">уг,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</w:t>
      </w:r>
    </w:p>
    <w:p>
      <w:pPr>
        <w:pStyle w:val="ConsPlusNormal"/>
        <w:spacing w:before="0" w:beforeAutospacing="0" w:after="0" w:line="240" w:lineRule="auto"/>
        <w:ind w:left="0" w:right="0" w:firstLine="540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  <w:szCs w:val="24"/>
          <w:lang w:val="ru-RU" w:bidi="ru-RU"/>
        </w:rPr>
        <w:t>Консультирование может осуществляться должностными лицами Департамента в соответствии со статьей 50 Федерального закона N 248-ФЗ.</w:t>
      </w:r>
      <w:r>
        <w:rPr>
          <w:rFonts w:ascii="PT Astra Serif" w:hAnsi="PT Astra Serif" w:eastAsiaTheme="minorEastAsia" w:cs="PT Astra Serif"/>
          <w:sz w:val="26"/>
          <w:szCs w:val="24"/>
          <w:lang w:val="ru-RU" w:bidi="ru-RU"/>
        </w:rPr>
        <w:t>»;</w:t>
      </w:r>
    </w:p>
    <w:p>
      <w:pPr>
        <w:pStyle w:val="ConsPlusNormal"/>
        <w:ind w:left="0" w:right="0" w:firstLine="709"/>
        <w:jc w:val="both"/>
        <w:rPr>
          <w:rFonts w:ascii="PT Astra Serif" w:eastAsia="PT Astra Serif" w:hAnsi="PT Astra Serif" w:cs="PT Astra Serif"/>
          <w:sz w:val="26"/>
          <w:szCs w:val="24"/>
        </w:rPr>
      </w:pPr>
      <w:r>
        <w:rPr>
          <w:rFonts w:ascii="PT Astra Serif" w:hAnsi="PT Astra Serif" w:eastAsiaTheme="minorEastAsia" w:cs="PT Astra Serif"/>
          <w:sz w:val="26"/>
          <w:szCs w:val="24"/>
        </w:rPr>
        <w:t xml:space="preserve">5) </w:t>
      </w:r>
      <w:r>
        <w:rPr>
          <w:rFonts w:ascii="PT Astra Serif" w:hAnsi="PT Astra Serif" w:eastAsiaTheme="minorEastAsia" w:cs="PT Astra Serif"/>
          <w:sz w:val="26"/>
          <w:szCs w:val="24"/>
        </w:rPr>
        <w:t>пункт 21 изложить в следующей редакции</w:t>
      </w:r>
      <w:r>
        <w:rPr>
          <w:rFonts w:ascii="PT Astra Serif" w:hAnsi="PT Astra Serif" w:eastAsiaTheme="minorEastAsia" w:cs="PT Astra Serif"/>
          <w:sz w:val="26"/>
          <w:szCs w:val="24"/>
        </w:rPr>
        <w:t>:</w:t>
      </w:r>
    </w:p>
    <w:p>
      <w:pPr>
        <w:pStyle w:val="NormalWeb"/>
        <w:spacing w:before="0" w:beforeAutospacing="0" w:after="0" w:afterAutospacing="0" w:line="232" w:lineRule="atLeast"/>
        <w:ind w:left="0" w:right="0" w:firstLine="709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 xml:space="preserve">«21. Консультирование может осуществляться должностным лицом контрольного (надзорного) органа по телефону, посредством </w:t>
      </w:r>
      <w:r>
        <w:rPr>
          <w:rFonts w:ascii="PT Astra Serif" w:hAnsi="PT Astra Serif" w:eastAsiaTheme="minorEastAsia" w:cs="PT Astra Serif"/>
          <w:sz w:val="26"/>
        </w:rPr>
        <w:t>видео-конференц-связи</w:t>
      </w:r>
      <w:r>
        <w:rPr>
          <w:rFonts w:ascii="PT Astra Serif" w:hAnsi="PT Astra Serif" w:eastAsiaTheme="minorEastAsia" w:cs="PT Astra Serif"/>
          <w:sz w:val="26"/>
        </w:rPr>
        <w:t xml:space="preserve">, использования мобильного приложения </w:t>
      </w:r>
      <w:r>
        <w:rPr>
          <w:rFonts w:ascii="PT Astra Serif" w:hAnsi="PT Astra Serif" w:eastAsiaTheme="minorEastAsia" w:cs="PT Astra Serif"/>
          <w:sz w:val="26"/>
        </w:rPr>
        <w:t>«</w:t>
      </w:r>
      <w:r>
        <w:rPr>
          <w:rFonts w:ascii="PT Astra Serif" w:hAnsi="PT Astra Serif" w:eastAsiaTheme="minorEastAsia" w:cs="PT Astra Serif"/>
          <w:sz w:val="26"/>
        </w:rPr>
        <w:t>Инспектор</w:t>
      </w:r>
      <w:r>
        <w:rPr>
          <w:rFonts w:ascii="PT Astra Serif" w:hAnsi="PT Astra Serif" w:eastAsiaTheme="minorEastAsia" w:cs="PT Astra Serif"/>
          <w:sz w:val="26"/>
        </w:rPr>
        <w:t>»</w:t>
      </w:r>
      <w:r>
        <w:rPr>
          <w:rFonts w:ascii="PT Astra Serif" w:hAnsi="PT Astra Serif" w:eastAsiaTheme="minorEastAsia" w:cs="PT Astra Serif"/>
          <w:sz w:val="26"/>
        </w:rPr>
        <w:t>, на личном приеме либо в ходе проведения профилактического мероприятия, контрольного (надзорного) мероприятия.</w:t>
      </w:r>
    </w:p>
    <w:p>
      <w:pPr>
        <w:pStyle w:val="NormalWeb"/>
        <w:spacing w:before="0" w:beforeAutospacing="0" w:after="0" w:afterAutospacing="0" w:line="232" w:lineRule="atLeast"/>
        <w:ind w:left="0" w:right="0" w:firstLine="709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При осуществлении консультирования должностное лицо Департамента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>
      <w:pPr>
        <w:pStyle w:val="NormalWeb"/>
        <w:spacing w:before="0" w:beforeAutospacing="0" w:after="0" w:afterAutospacing="0" w:line="232" w:lineRule="atLeast"/>
        <w:ind w:left="0" w:right="0" w:firstLine="709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Консультирование осуществляется без взимания платы</w:t>
      </w:r>
      <w:r>
        <w:rPr>
          <w:rFonts w:ascii="PT Astra Serif" w:hAnsi="PT Astra Serif" w:eastAsiaTheme="minorEastAsia" w:cs="PT Astra Serif"/>
          <w:sz w:val="26"/>
        </w:rPr>
        <w:t>.</w:t>
      </w:r>
      <w:r>
        <w:rPr>
          <w:rFonts w:ascii="PT Astra Serif" w:hAnsi="PT Astra Serif" w:eastAsiaTheme="minorEastAsia" w:cs="PT Astra Serif"/>
          <w:sz w:val="26"/>
        </w:rPr>
        <w:t>»;</w:t>
      </w:r>
    </w:p>
    <w:p>
      <w:pPr>
        <w:ind w:left="0" w:right="0" w:firstLine="709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color w:val="000000" w:themeColor="text1"/>
          <w:sz w:val="26"/>
        </w:rPr>
        <w:t>6) пункт 2</w:t>
      </w:r>
      <w:r>
        <w:rPr>
          <w:rFonts w:ascii="PT Astra Serif" w:hAnsi="PT Astra Serif" w:eastAsiaTheme="minorEastAsia" w:cs="PT Astra Serif"/>
          <w:color w:val="000000" w:themeColor="text1"/>
          <w:sz w:val="26"/>
        </w:rPr>
        <w:t>3</w:t>
      </w:r>
      <w:r>
        <w:rPr>
          <w:rFonts w:ascii="PT Astra Serif" w:hAnsi="PT Astra Serif" w:eastAsiaTheme="minorEastAsia" w:cs="PT Astra Serif"/>
          <w:color w:val="000000" w:themeColor="text1"/>
          <w:sz w:val="26"/>
        </w:rPr>
        <w:t>-1</w:t>
      </w:r>
      <w:r>
        <w:rPr>
          <w:rFonts w:ascii="PT Astra Serif" w:hAnsi="PT Astra Serif" w:eastAsiaTheme="minorEastAsia" w:cs="PT Astra Serif"/>
          <w:color w:val="FF0000"/>
          <w:sz w:val="26"/>
        </w:rPr>
        <w:t xml:space="preserve"> </w:t>
      </w:r>
      <w:r>
        <w:rPr>
          <w:rFonts w:ascii="PT Astra Serif" w:hAnsi="PT Astra Serif" w:eastAsiaTheme="minorEastAsia" w:cs="PT Astra Serif"/>
          <w:color w:val="000000" w:themeColor="text1"/>
          <w:sz w:val="26"/>
        </w:rPr>
        <w:t xml:space="preserve">дополнить </w:t>
      </w:r>
      <w:r>
        <w:rPr>
          <w:rFonts w:ascii="PT Astra Serif" w:hAnsi="PT Astra Serif" w:eastAsiaTheme="minorEastAsia" w:cs="PT Astra Serif"/>
          <w:sz w:val="26"/>
        </w:rPr>
        <w:t>абзацем:</w:t>
      </w:r>
      <w:r>
        <w:rPr>
          <w:rFonts w:ascii="PT Astra Serif" w:hAnsi="PT Astra Serif" w:eastAsiaTheme="minorEastAsia" w:cs="PT Astra Serif"/>
          <w:color w:val="FF0000"/>
          <w:sz w:val="26"/>
        </w:rPr>
        <w:t xml:space="preserve"> </w:t>
      </w:r>
    </w:p>
    <w:p>
      <w:pPr>
        <w:ind w:left="0" w:right="0" w:firstLine="709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 w:hint="eastAsia"/>
          <w:sz w:val="26"/>
        </w:rPr>
        <w:t>«</w:t>
      </w:r>
      <w:r>
        <w:rPr>
          <w:rFonts w:ascii="PT Astra Serif" w:hAnsi="PT Astra Serif" w:eastAsiaTheme="minorEastAsia" w:cs="PT Astra Serif"/>
          <w:sz w:val="26"/>
        </w:rPr>
        <w:t xml:space="preserve">Департамент принимает решение об отказе в проведении профилактического визита по инициативе контролируемого лица в случаях, перечисленных в пункте 5 части </w:t>
      </w:r>
      <w:r>
        <w:rPr>
          <w:rFonts w:ascii="PT Astra Serif" w:hAnsi="PT Astra Serif" w:eastAsiaTheme="minorEastAsia" w:cs="PT Astra Serif"/>
          <w:sz w:val="26"/>
        </w:rPr>
        <w:t>4 статьи 52.2 Федерального закона № 248-ФЗ.</w:t>
      </w:r>
      <w:r>
        <w:rPr>
          <w:rFonts w:ascii="PT Astra Serif" w:hAnsi="PT Astra Serif" w:eastAsiaTheme="minorEastAsia" w:cs="PT Astra Serif" w:hint="eastAsia"/>
          <w:sz w:val="26"/>
        </w:rPr>
        <w:t>»</w:t>
      </w:r>
      <w:r>
        <w:rPr>
          <w:rFonts w:ascii="PT Astra Serif" w:hAnsi="PT Astra Serif" w:eastAsiaTheme="minorEastAsia" w:cs="PT Astra Serif"/>
          <w:sz w:val="26"/>
        </w:rPr>
        <w:t>;</w:t>
      </w:r>
    </w:p>
    <w:p>
      <w:pPr>
        <w:pStyle w:val="NormalWeb"/>
        <w:spacing w:before="0" w:beforeAutospacing="0" w:after="0" w:afterAutospacing="0"/>
        <w:ind w:left="0" w:right="0" w:firstLine="709"/>
        <w:jc w:val="both"/>
        <w:rPr>
          <w:rFonts w:ascii="PT Astra Serif" w:hAnsi="PT Astra Serif" w:eastAsiaTheme="minorEastAsia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7) пункт 2</w:t>
      </w:r>
      <w:r>
        <w:rPr>
          <w:rFonts w:ascii="PT Astra Serif" w:hAnsi="PT Astra Serif" w:eastAsiaTheme="minorEastAsia" w:cs="PT Astra Serif"/>
          <w:sz w:val="26"/>
        </w:rPr>
        <w:t>4 дополнить абзацем</w:t>
      </w:r>
      <w:r>
        <w:rPr>
          <w:rFonts w:ascii="PT Astra Serif" w:hAnsi="PT Astra Serif" w:eastAsiaTheme="minorEastAsia" w:cs="PT Astra Serif"/>
          <w:sz w:val="26"/>
        </w:rPr>
        <w:t xml:space="preserve"> следующего содержания:</w:t>
      </w:r>
    </w:p>
    <w:p>
      <w:pPr>
        <w:shd w:val="clear" w:color="auto" w:fill="FFFFFF"/>
        <w:ind w:left="0" w:right="0" w:firstLine="709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 w:hint="eastAsia"/>
          <w:sz w:val="26"/>
        </w:rPr>
        <w:t>«</w:t>
      </w:r>
      <w:r>
        <w:rPr>
          <w:rFonts w:ascii="PT Astra Serif" w:hAnsi="PT Astra Serif" w:eastAsiaTheme="minorEastAsia" w:cs="PT Astra Serif"/>
          <w:sz w:val="26"/>
        </w:rPr>
        <w:t>О проведении обязательного профилактического визита контролируемое лицо уведомляется не позднее, чем за двадцать четыре часа до его начала</w:t>
      </w:r>
      <w:r>
        <w:rPr>
          <w:rFonts w:ascii="PT Astra Serif" w:hAnsi="PT Astra Serif" w:eastAsiaTheme="minorEastAsia" w:cs="PT Astra Serif"/>
          <w:sz w:val="26"/>
        </w:rPr>
        <w:t>.</w:t>
      </w:r>
      <w:r>
        <w:rPr>
          <w:rFonts w:ascii="PT Astra Serif" w:hAnsi="PT Astra Serif" w:eastAsiaTheme="minorEastAsia" w:cs="PT Astra Serif"/>
          <w:sz w:val="26"/>
        </w:rPr>
        <w:t>»</w:t>
      </w:r>
      <w:r>
        <w:rPr>
          <w:rFonts w:ascii="PT Astra Serif" w:hAnsi="PT Astra Serif" w:eastAsiaTheme="minorEastAsia" w:cs="PT Astra Serif"/>
          <w:sz w:val="26"/>
        </w:rPr>
        <w:t>;</w:t>
      </w:r>
    </w:p>
    <w:p>
      <w:pPr>
        <w:ind w:left="0" w:right="0" w:firstLine="709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 xml:space="preserve">8) </w:t>
      </w:r>
      <w:r>
        <w:rPr>
          <w:rFonts w:ascii="PT Astra Serif" w:hAnsi="PT Astra Serif" w:eastAsiaTheme="minorEastAsia" w:cs="PT Astra Serif"/>
          <w:sz w:val="26"/>
        </w:rPr>
        <w:t>дополнить пунктом 2</w:t>
      </w:r>
      <w:r>
        <w:rPr>
          <w:rFonts w:ascii="PT Astra Serif" w:hAnsi="PT Astra Serif" w:eastAsiaTheme="minorEastAsia" w:cs="PT Astra Serif"/>
          <w:sz w:val="26"/>
        </w:rPr>
        <w:t>5</w:t>
      </w:r>
      <w:r>
        <w:rPr>
          <w:rFonts w:ascii="PT Astra Serif" w:hAnsi="PT Astra Serif" w:eastAsiaTheme="minorEastAsia" w:cs="PT Astra Serif"/>
          <w:sz w:val="26"/>
        </w:rPr>
        <w:t>-1 следующего содержания:</w:t>
      </w:r>
    </w:p>
    <w:p>
      <w:pPr>
        <w:pStyle w:val="NormalWeb"/>
        <w:spacing w:before="0" w:beforeAutospacing="0" w:after="0" w:afterAutospacing="0"/>
        <w:ind w:left="0" w:right="0" w:firstLine="709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«2</w:t>
      </w:r>
      <w:r>
        <w:rPr>
          <w:rFonts w:ascii="PT Astra Serif" w:hAnsi="PT Astra Serif" w:eastAsiaTheme="minorEastAsia" w:cs="PT Astra Serif"/>
          <w:sz w:val="26"/>
        </w:rPr>
        <w:t>5</w:t>
      </w:r>
      <w:r>
        <w:rPr>
          <w:rFonts w:ascii="PT Astra Serif" w:hAnsi="PT Astra Serif" w:eastAsiaTheme="minorEastAsia" w:cs="PT Astra Serif"/>
          <w:sz w:val="26"/>
        </w:rPr>
        <w:t>-1. Контроль может осуществляется без проведения плановых контрольных (надзорных)</w:t>
      </w:r>
      <w:r>
        <w:rPr>
          <w:rFonts w:ascii="PT Astra Serif" w:hAnsi="PT Astra Serif" w:eastAsiaTheme="minorEastAsia" w:cs="PT Astra Serif"/>
          <w:sz w:val="26"/>
        </w:rPr>
        <w:t xml:space="preserve"> </w:t>
      </w:r>
      <w:r>
        <w:rPr>
          <w:rFonts w:ascii="PT Astra Serif" w:hAnsi="PT Astra Serif" w:eastAsiaTheme="minorEastAsia" w:cs="PT Astra Serif"/>
          <w:sz w:val="26"/>
        </w:rPr>
        <w:t>мероприятий</w:t>
      </w:r>
      <w:r>
        <w:rPr>
          <w:rFonts w:ascii="PT Astra Serif" w:hAnsi="PT Astra Serif" w:eastAsiaTheme="minorEastAsia" w:cs="PT Astra Serif"/>
          <w:sz w:val="26"/>
        </w:rPr>
        <w:t>.</w:t>
      </w:r>
      <w:r>
        <w:rPr>
          <w:rFonts w:ascii="PT Astra Serif" w:hAnsi="PT Astra Serif" w:eastAsiaTheme="minorEastAsia" w:cs="PT Astra Serif"/>
          <w:sz w:val="26"/>
        </w:rPr>
        <w:t>»</w:t>
      </w:r>
      <w:r>
        <w:rPr>
          <w:rFonts w:ascii="PT Astra Serif" w:hAnsi="PT Astra Serif" w:eastAsiaTheme="minorEastAsia" w:cs="PT Astra Serif"/>
          <w:sz w:val="26"/>
        </w:rPr>
        <w:t>;</w:t>
      </w:r>
      <w:r>
        <w:rPr>
          <w:rFonts w:ascii="PT Astra Serif" w:hAnsi="PT Astra Serif" w:eastAsiaTheme="minorEastAsia" w:cs="PT Astra Serif"/>
          <w:sz w:val="26"/>
        </w:rPr>
        <w:t xml:space="preserve"> </w:t>
      </w:r>
    </w:p>
    <w:p>
      <w:pPr>
        <w:pStyle w:val="NormalWeb"/>
        <w:spacing w:before="0" w:beforeAutospacing="0" w:after="0" w:afterAutospacing="0"/>
        <w:ind w:left="0" w:right="0" w:firstLine="709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9) пункт 27</w:t>
      </w:r>
      <w:r>
        <w:rPr>
          <w:rFonts w:ascii="PT Astra Serif" w:hAnsi="PT Astra Serif" w:eastAsiaTheme="minorEastAsia" w:cs="PT Astra Serif"/>
          <w:sz w:val="26"/>
        </w:rPr>
        <w:t xml:space="preserve"> </w:t>
      </w:r>
      <w:r>
        <w:rPr>
          <w:rFonts w:ascii="PT Astra Serif" w:hAnsi="PT Astra Serif" w:eastAsiaTheme="minorEastAsia" w:cs="PT Astra Serif"/>
          <w:sz w:val="26"/>
        </w:rPr>
        <w:t>изложить в следующей редакции:</w:t>
      </w:r>
    </w:p>
    <w:p>
      <w:pPr>
        <w:pStyle w:val="NormalWeb"/>
        <w:spacing w:before="0" w:beforeAutospacing="0" w:after="0" w:afterAutospacing="0"/>
        <w:ind w:left="0" w:right="0" w:firstLine="709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 w:hint="eastAsia"/>
          <w:sz w:val="26"/>
        </w:rPr>
        <w:t>«</w:t>
      </w:r>
      <w:r>
        <w:rPr>
          <w:rFonts w:ascii="PT Astra Serif" w:hAnsi="PT Astra Serif" w:eastAsiaTheme="minorEastAsia" w:cs="PT Astra Serif"/>
          <w:sz w:val="26"/>
        </w:rPr>
        <w:t>27</w:t>
      </w:r>
      <w:r>
        <w:rPr>
          <w:rFonts w:ascii="PT Astra Serif" w:hAnsi="PT Astra Serif" w:eastAsiaTheme="minorEastAsia" w:cs="PT Astra Serif"/>
          <w:sz w:val="26"/>
        </w:rPr>
        <w:t xml:space="preserve">. </w:t>
      </w:r>
      <w:r>
        <w:rPr>
          <w:rFonts w:ascii="PT Astra Serif" w:hAnsi="PT Astra Serif" w:eastAsiaTheme="minorEastAsia" w:cs="PT Astra Serif"/>
          <w:sz w:val="26"/>
        </w:rPr>
        <w:t>В ходе инспекционного визита могут совершаться следующие контрольные (надзорные) действия:</w:t>
      </w:r>
    </w:p>
    <w:p>
      <w:pPr>
        <w:pStyle w:val="NormalWeb"/>
        <w:numPr>
          <w:ilvl w:val="0"/>
          <w:numId w:val="3"/>
        </w:numPr>
        <w:spacing w:before="0" w:beforeAutospacing="0" w:after="0" w:afterAutospacing="0"/>
        <w:ind w:left="0" w:right="0" w:firstLine="709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о</w:t>
      </w:r>
      <w:r>
        <w:rPr>
          <w:rFonts w:ascii="PT Astra Serif" w:hAnsi="PT Astra Serif" w:eastAsiaTheme="minorEastAsia" w:cs="PT Astra Serif"/>
          <w:sz w:val="26"/>
        </w:rPr>
        <w:t>смотр</w:t>
      </w:r>
      <w:r>
        <w:rPr>
          <w:rFonts w:ascii="PT Astra Serif" w:hAnsi="PT Astra Serif" w:eastAsiaTheme="minorEastAsia" w:cs="PT Astra Serif"/>
          <w:color w:val="000000"/>
          <w:sz w:val="26"/>
          <w:shd w:val="clear" w:color="auto" w:fill="FFFFFF"/>
        </w:rPr>
        <w:t>;</w:t>
      </w:r>
    </w:p>
    <w:p>
      <w:pPr>
        <w:pStyle w:val="NormalWeb"/>
        <w:numPr>
          <w:ilvl w:val="0"/>
          <w:numId w:val="3"/>
        </w:numPr>
        <w:spacing w:before="0" w:beforeAutospacing="0" w:after="0" w:afterAutospacing="0"/>
        <w:ind w:left="0" w:right="0" w:firstLine="709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опрос</w:t>
      </w:r>
      <w:r>
        <w:rPr>
          <w:rFonts w:ascii="PT Astra Serif" w:hAnsi="PT Astra Serif" w:eastAsiaTheme="minorEastAsia" w:cs="PT Astra Serif"/>
          <w:sz w:val="26"/>
        </w:rPr>
        <w:t xml:space="preserve">; </w:t>
      </w:r>
    </w:p>
    <w:p>
      <w:pPr>
        <w:pStyle w:val="consplusnormal0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right="0" w:firstLine="709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получение письменных объяснений</w:t>
      </w:r>
      <w:r>
        <w:rPr>
          <w:rFonts w:ascii="PT Astra Serif" w:hAnsi="PT Astra Serif" w:eastAsiaTheme="minorEastAsia" w:cs="PT Astra Serif"/>
          <w:sz w:val="26"/>
        </w:rPr>
        <w:t>;</w:t>
      </w:r>
    </w:p>
    <w:p>
      <w:pPr>
        <w:pStyle w:val="consplusnormal0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right="0" w:firstLine="709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истребование документов</w:t>
      </w:r>
      <w:r>
        <w:rPr>
          <w:rFonts w:ascii="PT Astra Serif" w:hAnsi="PT Astra Serif" w:eastAsiaTheme="minorEastAsia" w:cs="PT Astra Serif"/>
          <w:sz w:val="26"/>
        </w:rPr>
        <w:t xml:space="preserve">, </w:t>
      </w:r>
      <w:r>
        <w:rPr>
          <w:rFonts w:ascii="PT Astra Serif" w:hAnsi="PT Astra Serif" w:eastAsiaTheme="minorEastAsia" w:cs="PT Astra Serif"/>
          <w:color w:val="020C22"/>
          <w:sz w:val="26"/>
        </w:rPr>
        <w:t>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  <w:r>
        <w:rPr>
          <w:rFonts w:ascii="PT Astra Serif" w:hAnsi="PT Astra Serif" w:eastAsiaTheme="minorEastAsia" w:cs="PT Astra Serif"/>
          <w:sz w:val="26"/>
        </w:rPr>
        <w:t>»;</w:t>
      </w:r>
    </w:p>
    <w:p>
      <w:pPr>
        <w:pStyle w:val="ListParagraph"/>
        <w:ind w:left="0" w:right="0" w:firstLine="709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 xml:space="preserve">10) </w:t>
      </w:r>
      <w:r>
        <w:rPr>
          <w:rFonts w:ascii="PT Astra Serif" w:hAnsi="PT Astra Serif" w:eastAsiaTheme="minorEastAsia" w:cs="PT Astra Serif"/>
          <w:sz w:val="26"/>
        </w:rPr>
        <w:t xml:space="preserve">пункт 33 </w:t>
      </w:r>
      <w:r>
        <w:rPr>
          <w:rFonts w:ascii="PT Astra Serif" w:hAnsi="PT Astra Serif" w:eastAsiaTheme="minorEastAsia" w:cs="PT Astra Serif"/>
          <w:sz w:val="26"/>
        </w:rPr>
        <w:t xml:space="preserve">дополнить </w:t>
      </w:r>
      <w:r>
        <w:rPr>
          <w:rFonts w:ascii="PT Astra Serif" w:hAnsi="PT Astra Serif" w:eastAsiaTheme="minorEastAsia" w:cs="PT Astra Serif"/>
          <w:sz w:val="26"/>
        </w:rPr>
        <w:t>абзацем</w:t>
      </w:r>
      <w:r>
        <w:rPr>
          <w:rFonts w:ascii="PT Astra Serif" w:hAnsi="PT Astra Serif" w:eastAsiaTheme="minorEastAsia" w:cs="PT Astra Serif"/>
          <w:sz w:val="26"/>
        </w:rPr>
        <w:t xml:space="preserve"> следующего содержания:</w:t>
      </w:r>
    </w:p>
    <w:p>
      <w:pPr>
        <w:pStyle w:val="consplusnormal0"/>
        <w:shd w:val="clear" w:color="auto" w:fill="FFFFFF"/>
        <w:spacing w:before="0" w:beforeAutospacing="0" w:after="0" w:afterAutospacing="0"/>
        <w:ind w:left="0" w:right="0" w:firstLine="709"/>
        <w:jc w:val="both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 xml:space="preserve">«Действие требований, установленных </w:t>
      </w:r>
      <w:r>
        <w:rPr>
          <w:rFonts w:ascii="PT Astra Serif" w:hAnsi="PT Astra Serif" w:eastAsiaTheme="minorEastAsia" w:cs="PT Astra Serif"/>
          <w:sz w:val="26"/>
        </w:rPr>
        <w:t>настоящей статьей</w:t>
      </w:r>
      <w:r>
        <w:rPr>
          <w:rFonts w:ascii="PT Astra Serif" w:hAnsi="PT Astra Serif" w:eastAsiaTheme="minorEastAsia" w:cs="PT Astra Serif"/>
          <w:sz w:val="26"/>
        </w:rPr>
        <w:t xml:space="preserve">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</w:t>
      </w:r>
      <w:r>
        <w:rPr>
          <w:rFonts w:ascii="PT Astra Serif" w:hAnsi="PT Astra Serif" w:eastAsiaTheme="minorEastAsia" w:cs="PT Astra Serif"/>
          <w:sz w:val="26"/>
        </w:rPr>
        <w:t xml:space="preserve">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</w:t>
      </w:r>
      <w:r>
        <w:rPr>
          <w:rFonts w:ascii="PT Astra Serif" w:hAnsi="PT Astra Serif" w:eastAsiaTheme="minorEastAsia" w:cs="PT Astra Serif"/>
          <w:sz w:val="26"/>
        </w:rPr>
        <w:t>№</w:t>
      </w:r>
      <w:r>
        <w:rPr>
          <w:rFonts w:ascii="PT Astra Serif" w:hAnsi="PT Astra Serif" w:eastAsiaTheme="minorEastAsia" w:cs="PT Astra Serif"/>
          <w:sz w:val="26"/>
        </w:rPr>
        <w:t xml:space="preserve"> 209-ФЗ </w:t>
      </w:r>
      <w:r>
        <w:rPr>
          <w:rFonts w:ascii="PT Astra Serif" w:hAnsi="PT Astra Serif" w:eastAsiaTheme="minorEastAsia" w:cs="PT Astra Serif"/>
          <w:sz w:val="26"/>
        </w:rPr>
        <w:br/>
        <w:t>«</w:t>
      </w:r>
      <w:r>
        <w:rPr>
          <w:rFonts w:ascii="PT Astra Serif" w:hAnsi="PT Astra Serif" w:eastAsiaTheme="minorEastAsia" w:cs="PT Astra Serif"/>
          <w:sz w:val="26"/>
        </w:rPr>
        <w:t>О развитии малого и</w:t>
      </w:r>
      <w:r>
        <w:rPr>
          <w:rFonts w:ascii="PT Astra Serif" w:hAnsi="PT Astra Serif" w:eastAsiaTheme="minorEastAsia" w:cs="PT Astra Serif"/>
          <w:sz w:val="26"/>
        </w:rPr>
        <w:t xml:space="preserve"> среднего предпринимательства в Российской Федерации</w:t>
      </w:r>
      <w:r>
        <w:rPr>
          <w:rFonts w:ascii="PT Astra Serif" w:hAnsi="PT Astra Serif" w:eastAsiaTheme="minorEastAsia" w:cs="PT Astra Serif"/>
          <w:sz w:val="26"/>
        </w:rPr>
        <w:t>»</w:t>
      </w:r>
      <w:r>
        <w:rPr>
          <w:rFonts w:ascii="PT Astra Serif" w:hAnsi="PT Astra Serif" w:eastAsiaTheme="minorEastAsia" w:cs="PT Astra Serif"/>
          <w:sz w:val="26"/>
        </w:rPr>
        <w:t xml:space="preserve"> для малых предприятий, а в части проведения выездных проверок </w:t>
      </w:r>
      <w:r>
        <w:rPr>
          <w:rFonts w:ascii="PT Astra Serif" w:hAnsi="PT Astra Serif" w:eastAsiaTheme="minorEastAsia" w:cs="PT Astra Serif"/>
          <w:sz w:val="26"/>
        </w:rPr>
        <w:t>микропредприятий</w:t>
      </w:r>
      <w:r>
        <w:rPr>
          <w:rFonts w:ascii="PT Astra Serif" w:hAnsi="PT Astra Serif" w:eastAsiaTheme="minorEastAsia" w:cs="PT Astra Serif"/>
          <w:sz w:val="26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r>
        <w:rPr>
          <w:rFonts w:ascii="PT Astra Serif" w:hAnsi="PT Astra Serif" w:eastAsiaTheme="minorEastAsia" w:cs="PT Astra Serif"/>
          <w:sz w:val="26"/>
        </w:rPr>
        <w:t>микропредприятий</w:t>
      </w:r>
      <w:r>
        <w:rPr>
          <w:rFonts w:ascii="PT Astra Serif" w:hAnsi="PT Astra Serif" w:eastAsiaTheme="minorEastAsia" w:cs="PT Astra Serif"/>
          <w:sz w:val="26"/>
        </w:rPr>
        <w:t>.»;</w:t>
      </w:r>
    </w:p>
    <w:p>
      <w:pPr>
        <w:pStyle w:val="ConsPlusNormal"/>
        <w:ind w:left="0" w:right="0" w:firstLine="709"/>
        <w:jc w:val="both"/>
        <w:rPr>
          <w:rFonts w:ascii="PT Astra Serif" w:eastAsia="PT Astra Serif" w:hAnsi="PT Astra Serif" w:cs="PT Astra Serif"/>
          <w:sz w:val="26"/>
          <w:szCs w:val="24"/>
        </w:rPr>
      </w:pPr>
      <w:r>
        <w:rPr>
          <w:rFonts w:ascii="PT Astra Serif" w:hAnsi="PT Astra Serif" w:eastAsiaTheme="minorEastAsia" w:cs="PT Astra Serif"/>
          <w:sz w:val="26"/>
          <w:szCs w:val="24"/>
        </w:rPr>
        <w:t>1</w:t>
      </w:r>
      <w:r>
        <w:rPr>
          <w:rFonts w:ascii="PT Astra Serif" w:hAnsi="PT Astra Serif" w:eastAsiaTheme="minorEastAsia" w:cs="PT Astra Serif"/>
          <w:sz w:val="26"/>
          <w:szCs w:val="24"/>
        </w:rPr>
        <w:t>1)</w:t>
      </w:r>
      <w:r>
        <w:rPr>
          <w:rFonts w:ascii="PT Astra Serif" w:hAnsi="PT Astra Serif" w:eastAsiaTheme="minorEastAsia" w:cs="PT Astra Serif"/>
          <w:sz w:val="26"/>
          <w:szCs w:val="24"/>
        </w:rPr>
        <w:t xml:space="preserve"> дополнить пунктом </w:t>
      </w:r>
      <w:r>
        <w:rPr>
          <w:rFonts w:ascii="PT Astra Serif" w:hAnsi="PT Astra Serif" w:eastAsiaTheme="minorEastAsia" w:cs="PT Astra Serif"/>
          <w:sz w:val="26"/>
          <w:szCs w:val="24"/>
        </w:rPr>
        <w:t>47</w:t>
      </w:r>
      <w:r>
        <w:rPr>
          <w:rFonts w:ascii="PT Astra Serif" w:hAnsi="PT Astra Serif" w:eastAsiaTheme="minorEastAsia" w:cs="PT Astra Serif"/>
          <w:sz w:val="26"/>
          <w:szCs w:val="24"/>
        </w:rPr>
        <w:t>-1 следующего содержания</w:t>
      </w:r>
      <w:r>
        <w:rPr>
          <w:rFonts w:ascii="PT Astra Serif" w:hAnsi="PT Astra Serif" w:eastAsiaTheme="minorEastAsia" w:cs="PT Astra Serif"/>
          <w:sz w:val="26"/>
          <w:szCs w:val="24"/>
        </w:rPr>
        <w:t>:</w:t>
      </w:r>
    </w:p>
    <w:p>
      <w:pPr>
        <w:pStyle w:val="ConsPlusNormal"/>
        <w:ind w:left="0" w:right="0" w:firstLine="709"/>
        <w:jc w:val="both"/>
        <w:rPr>
          <w:rFonts w:ascii="PT Astra Serif" w:eastAsia="PT Astra Serif" w:hAnsi="PT Astra Serif" w:cs="PT Astra Serif"/>
          <w:sz w:val="26"/>
          <w:szCs w:val="24"/>
        </w:rPr>
      </w:pPr>
      <w:r>
        <w:rPr>
          <w:rFonts w:ascii="PT Astra Serif" w:hAnsi="PT Astra Serif" w:eastAsiaTheme="minorEastAsia" w:cs="PT Astra Serif"/>
          <w:sz w:val="26"/>
          <w:szCs w:val="24"/>
        </w:rPr>
        <w:t>«</w:t>
      </w:r>
      <w:r>
        <w:rPr>
          <w:rFonts w:ascii="PT Astra Serif" w:hAnsi="PT Astra Serif" w:eastAsiaTheme="minorEastAsia" w:cs="PT Astra Serif"/>
          <w:sz w:val="26"/>
          <w:szCs w:val="24"/>
        </w:rPr>
        <w:t>47</w:t>
      </w:r>
      <w:r>
        <w:rPr>
          <w:rFonts w:ascii="PT Astra Serif" w:hAnsi="PT Astra Serif" w:eastAsiaTheme="minorEastAsia" w:cs="PT Astra Serif"/>
          <w:sz w:val="26"/>
          <w:szCs w:val="24"/>
        </w:rPr>
        <w:t>-1. Жалоба подается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</w:t>
      </w:r>
      <w:r>
        <w:rPr>
          <w:rFonts w:ascii="PT Astra Serif" w:hAnsi="PT Astra Serif" w:eastAsiaTheme="minorEastAsia" w:cs="PT Astra Serif"/>
          <w:sz w:val="26"/>
          <w:szCs w:val="24"/>
        </w:rPr>
        <w:t xml:space="preserve">едусмотренного частью 1.1 ст. </w:t>
      </w:r>
      <w:r>
        <w:rPr>
          <w:rFonts w:ascii="PT Astra Serif" w:hAnsi="PT Astra Serif" w:eastAsiaTheme="minorEastAsia" w:cs="PT Astra Serif"/>
          <w:sz w:val="26"/>
          <w:szCs w:val="24"/>
          <w:lang w:val="en-US"/>
        </w:rPr>
        <w:t>40</w:t>
      </w:r>
      <w:r>
        <w:rPr>
          <w:rFonts w:ascii="PT Astra Serif" w:hAnsi="PT Astra Serif" w:eastAsiaTheme="minorEastAsia" w:cs="PT Astra Serif"/>
          <w:sz w:val="26"/>
          <w:szCs w:val="24"/>
        </w:rPr>
        <w:t xml:space="preserve"> Федерального закона № 248- ФЗ.</w:t>
      </w:r>
    </w:p>
    <w:p>
      <w:pPr>
        <w:pStyle w:val="ListParagraph"/>
        <w:ind w:left="0" w:right="0" w:firstLine="709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</w:t>
      </w:r>
      <w:r>
        <w:rPr>
          <w:rFonts w:ascii="PT Astra Serif" w:hAnsi="PT Astra Serif" w:eastAsiaTheme="minorEastAsia" w:cs="PT Astra Serif"/>
          <w:sz w:val="26"/>
        </w:rPr>
        <w:t>.</w:t>
      </w:r>
      <w:r>
        <w:rPr>
          <w:rFonts w:ascii="PT Astra Serif" w:hAnsi="PT Astra Serif" w:eastAsiaTheme="minorEastAsia" w:cs="PT Astra Serif"/>
          <w:sz w:val="26"/>
        </w:rPr>
        <w:t>»</w:t>
      </w:r>
      <w:r>
        <w:rPr>
          <w:rFonts w:ascii="PT Astra Serif" w:hAnsi="PT Astra Serif" w:eastAsiaTheme="minorEastAsia" w:cs="PT Astra Serif"/>
          <w:sz w:val="26"/>
        </w:rPr>
        <w:t>.</w:t>
      </w:r>
    </w:p>
    <w:p>
      <w:pPr>
        <w:ind w:left="0" w:right="0" w:firstLine="709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>2. Настоящее постановление вступает в силу со дня его официального опубликования.</w:t>
      </w:r>
    </w:p>
    <w:p>
      <w:pPr>
        <w:ind w:firstLine="0"/>
        <w:rPr>
          <w:rFonts w:ascii="PT Astra Serif" w:eastAsia="PT Astra Serif" w:hAnsi="PT Astra Serif" w:cs="PT Astra Serif"/>
          <w:sz w:val="26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  <w:sz w:val="26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  <w:sz w:val="26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  <w:sz w:val="26"/>
        </w:rPr>
      </w:pPr>
      <w:r>
        <w:rPr>
          <w:rFonts w:ascii="PT Astra Serif" w:hAnsi="PT Astra Serif" w:eastAsiaTheme="minorEastAsia" w:cs="PT Astra Serif"/>
          <w:sz w:val="26"/>
        </w:rPr>
        <w:t xml:space="preserve">Губернатор Томской области                                                              </w:t>
      </w:r>
      <w:r>
        <w:rPr>
          <w:rFonts w:ascii="PT Astra Serif" w:hAnsi="PT Astra Serif" w:eastAsiaTheme="minorEastAsia" w:cs="PT Astra Serif"/>
          <w:sz w:val="26"/>
        </w:rPr>
        <w:t xml:space="preserve">            </w:t>
      </w:r>
      <w:r>
        <w:rPr>
          <w:rFonts w:ascii="PT Astra Serif" w:hAnsi="PT Astra Serif" w:eastAsiaTheme="minorEastAsia" w:cs="PT Astra Serif"/>
          <w:sz w:val="26"/>
        </w:rPr>
        <w:t xml:space="preserve">В.В. </w:t>
      </w:r>
      <w:r>
        <w:rPr>
          <w:rFonts w:ascii="PT Astra Serif" w:hAnsi="PT Astra Serif" w:eastAsiaTheme="minorEastAsia" w:cs="PT Astra Serif"/>
          <w:sz w:val="26"/>
        </w:rPr>
        <w:t>Мазур</w:t>
      </w: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</w:rPr>
      </w:pP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  <w:sz w:val="18"/>
        </w:rPr>
      </w:pPr>
      <w:r>
        <w:rPr>
          <w:rFonts w:ascii="PT Astra Serif" w:hAnsi="PT Astra Serif" w:eastAsiaTheme="minorEastAsia" w:cs="PT Astra Serif"/>
          <w:sz w:val="18"/>
        </w:rPr>
        <w:t>Важова</w:t>
      </w:r>
      <w:r>
        <w:rPr>
          <w:rFonts w:ascii="PT Astra Serif" w:hAnsi="PT Astra Serif" w:eastAsiaTheme="minorEastAsia" w:cs="PT Astra Serif"/>
          <w:sz w:val="18"/>
        </w:rPr>
        <w:t xml:space="preserve"> Л.В.</w:t>
      </w:r>
    </w:p>
    <w:p>
      <w:pPr>
        <w:tabs>
          <w:tab w:val="left" w:pos="7938"/>
        </w:tabs>
        <w:spacing w:before="60"/>
        <w:ind w:firstLine="0"/>
        <w:rPr>
          <w:rFonts w:ascii="PT Astra Serif" w:eastAsia="PT Astra Serif" w:hAnsi="PT Astra Serif" w:cs="PT Astra Serif"/>
          <w:sz w:val="18"/>
        </w:rPr>
      </w:pPr>
      <w:r>
        <w:rPr>
          <w:rFonts w:ascii="PT Astra Serif" w:hAnsi="PT Astra Serif" w:eastAsiaTheme="minorEastAsia" w:cs="PT Astra Serif"/>
          <w:sz w:val="18"/>
        </w:rPr>
        <w:t>+7(3822) 713-071</w:t>
      </w:r>
      <w:bookmarkEnd w:id="1"/>
    </w:p>
    <w:sectPr>
      <w:headerReference w:type="default" r:id="rId7"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default"/>
  </w:font>
  <w:font w:name="Segoe UI">
    <w:panose1 w:val="020B0502040504020204"/>
    <w:charset w:val="00"/>
    <w:family w:val="auto"/>
    <w:pitch w:val="default"/>
  </w:font>
  <w:font w:name="Times New Roman">
    <w:panose1 w:val="02020603050405020304"/>
    <w:charset w:val="00"/>
    <w:family w:val="auto"/>
    <w:pitch w:val="default"/>
  </w:font>
  <w:font w:name="PT Astra Serif">
    <w:panose1 w:val="020A0603040505020204"/>
    <w:charset w:val="00"/>
    <w:family w:val="auto"/>
    <w:pitch w:val="default"/>
  </w:font>
  <w:font w:name="Arial">
    <w:panose1 w:val="020B0604020202020204"/>
    <w:charset w:val="00"/>
    <w:family w:val="auto"/>
    <w:pitch w:val="default"/>
  </w:font>
  <w:font w:name="times new roman cyr">
    <w:panose1 w:val="02000603000000000000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95417948"/>
      <w:docPartObj>
        <w:docPartGallery w:val="Page Numbers (Top of Page)"/>
        <w:docPartUnique/>
      </w:docPartObj>
    </w:sdtPr>
    <w:sdtContent>
      <w:p>
        <w:pPr>
          <w:pStyle w:val="Header"/>
        </w:pPr>
        <w:r>
          <w:rPr>
            <w:rFonts w:ascii="PT Astra Serif" w:hAnsi="PT Astra Serif"/>
            <w:b w:val="0"/>
            <w:sz w:val="24"/>
            <w:szCs w:val="24"/>
          </w:rPr>
          <w:fldChar w:fldCharType="begin"/>
        </w:r>
        <w:r>
          <w:rPr>
            <w:rFonts w:ascii="PT Astra Serif" w:hAnsi="PT Astra Serif"/>
            <w:b w:val="0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b w:val="0"/>
            <w:sz w:val="24"/>
            <w:szCs w:val="24"/>
          </w:rPr>
          <w:fldChar w:fldCharType="separate"/>
        </w:r>
        <w:r>
          <w:rPr>
            <w:rFonts w:ascii="PT Astra Serif" w:hAnsi="PT Astra Serif"/>
            <w:b w:val="0"/>
            <w:sz w:val="24"/>
            <w:szCs w:val="24"/>
          </w:rPr>
          <w:t>2</w:t>
        </w:r>
        <w:r>
          <w:rPr>
            <w:rFonts w:ascii="PT Astra Serif" w:hAnsi="PT Astra Serif"/>
            <w:b w:val="0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585C74"/>
    <w:multiLevelType w:val="hybridMultilevel"/>
    <w:tmpl w:val="00000000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F024AA"/>
    <w:multiLevelType w:val="hybridMultilevel"/>
    <w:tmpl w:val="00000000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87C0471"/>
    <w:multiLevelType w:val="hybridMultilevel"/>
    <w:tmpl w:val="00000000"/>
    <w:lvl w:ilvl="0">
      <w:start w:val="1"/>
      <w:numFmt w:val="decimal"/>
      <w:lvlText w:val="%1)"/>
      <w:lvlJc w:val="left"/>
      <w:pPr>
        <w:ind w:left="1770" w:hanging="10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 w:hint="default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0" w:line="240" w:lineRule="auto"/>
      <w:ind w:firstLine="720"/>
      <w:jc w:val="both"/>
    </w:pPr>
    <w:rPr>
      <w:rFonts w:ascii="Times New Roman CYR" w:hAnsi="Times New Roman CYR" w:eastAsiaTheme="minorEastAsia" w:cs="Times New Roman CYR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character" w:customStyle="1" w:styleId="QuoteChar">
    <w:name w:val="Quote Char"/>
    <w:link w:val="Quote"/>
    <w:uiPriority w:val="29"/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paragraph" w:customStyle="1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a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">
    <w:name w:val="Название Знак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a0"/>
    <w:uiPriority w:val="11"/>
    <w:qFormat/>
    <w:pPr>
      <w:spacing w:before="200" w:after="200"/>
    </w:pPr>
  </w:style>
  <w:style w:type="character" w:customStyle="1" w:styleId="a0">
    <w:name w:val="Подзаголовок Знак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2"/>
    <w:uiPriority w:val="29"/>
    <w:qFormat/>
    <w:pPr>
      <w:ind w:left="720" w:right="720"/>
    </w:pPr>
    <w:rPr>
      <w:i/>
    </w:rPr>
  </w:style>
  <w:style w:type="character" w:customStyle="1" w:styleId="2">
    <w:name w:val="Цитата 2 Знак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a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1">
    <w:name w:val="Выделенная цитата Знак"/>
    <w:link w:val="IntenseQuote"/>
    <w:uiPriority w:val="30"/>
    <w:rPr>
      <w:i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2F2F2" w:fill="F2F2F2" w:themeColor="text1" w:themeTint="00" w:themeFill="text1" w:themeFillTint="00"/>
      </w:tcPr>
    </w:tblStylePr>
    <w:tblStylePr w:type="band1Vert">
      <w:tblPr/>
      <w:tcPr>
        <w:shd w:val="clear" w:color="F2F2F2" w:fill="F2F2F2" w:themeColor="text1" w:themeTint="00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customStyle="1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customStyle="1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00" w:themeFill="text1" w:themeFillTint="0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00" w:themeFill="text1" w:themeFillTint="00"/>
      </w:tc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customStyle="1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00" w:themeFill="text1" w:themeFillTint="0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00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00" w:themeFill="text1" w:themeFillTint="0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00" w:themeFill="text1" w:themeFillTint="00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</w:style>
  <w:style w:type="table" w:customStyle="1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Color="accent1" w:themeTint="3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Color="accent1" w:themeTint="34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DEEBF6" w:fill="DEEBF6" w:themeColor="accent1" w:themeTint="32" w:themeFill="accent1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 w:themeColor="accent1" w:themeTint="3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fill="68A2D8" w:themeColor="accent1" w:themeTint="EA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fill="F4B18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fill="A5A5A5" w:themeColor="accent3" w:themeTint="FE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fill="FFD865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</w:style>
  <w:style w:type="table" w:customStyle="1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Color="text1" w:themeTint="40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8A8A8A" w:fill="8A8A8A" w:themeColor="text1" w:themeTint="75" w:themeFill="text1" w:themeFillTint="75"/>
      </w:tcPr>
    </w:tblStylePr>
    <w:tblStylePr w:type="band1Vert">
      <w:tblPr/>
      <w:tcPr>
        <w:shd w:val="clear" w:color="8A8A8A" w:fill="8A8A8A" w:themeColor="text1" w:themeTint="75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Color="text1" w:themeFill="text1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fill="DDEAF6" w:themeColor="accent1" w:themeTint="34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B3D0EB" w:fill="B3D0EB" w:themeColor="accent1" w:themeTint="75" w:themeFill="accent1" w:themeFillTint="75"/>
      </w:tcPr>
    </w:tblStylePr>
    <w:tblStylePr w:type="band1Vert">
      <w:tblPr/>
      <w:tcPr>
        <w:shd w:val="clear" w:color="B3D0EB" w:fill="B3D0EB" w:themeColor="accent1" w:themeTint="75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 w:themeColor="accent1" w:themeFill="accen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Color="accent1" w:themeFill="accent1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fill="FBE5D6" w:themeColor="accent2" w:themeTint="32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6C3A0" w:fill="F6C3A0" w:themeColor="accent2" w:themeTint="75" w:themeFill="accent2" w:themeFillTint="75"/>
      </w:tcPr>
    </w:tblStylePr>
    <w:tblStylePr w:type="band1Vert">
      <w:tblPr/>
      <w:tcPr>
        <w:shd w:val="clear" w:color="F6C3A0" w:fill="F6C3A0" w:themeColor="accent2" w:themeTint="75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 w:themeColor="accent2" w:themeFill="accent2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Color="accent2" w:themeFill="accent2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fill="ECECEC" w:themeColor="accent3" w:themeTint="34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D5D5D5" w:fill="D5D5D5" w:themeColor="accent3" w:themeTint="75" w:themeFill="accent3" w:themeFillTint="75"/>
      </w:tcPr>
    </w:tblStylePr>
    <w:tblStylePr w:type="band1Vert">
      <w:tblPr/>
      <w:tcPr>
        <w:shd w:val="clear" w:color="D5D5D5" w:fill="D5D5D5" w:themeColor="accent3" w:themeTint="7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 w:themeColor="accent3" w:themeFill="accent3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Color="accent3" w:themeFill="accent3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fill="FFF2CB" w:themeColor="accent4" w:themeTint="34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E28A" w:fill="FFE28A" w:themeColor="accent4" w:themeTint="75" w:themeFill="accent4" w:themeFillTint="75"/>
      </w:tcPr>
    </w:tblStylePr>
    <w:tblStylePr w:type="band1Vert">
      <w:tblPr/>
      <w:tcPr>
        <w:shd w:val="clear" w:color="FFE28A" w:fill="FFE28A" w:themeColor="accent4" w:themeTint="75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 w:themeColor="accent4" w:themeFill="accent4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Color="accent4" w:themeFill="accent4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fill="D8E2F3" w:themeColor="accent5" w:themeTint="34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9BEE4" w:fill="A9BEE4" w:themeColor="accent5" w:themeTint="75" w:themeFill="accent5" w:themeFillTint="75"/>
      </w:tcPr>
    </w:tblStylePr>
    <w:tblStylePr w:type="band1Vert">
      <w:tblPr/>
      <w:tcPr>
        <w:shd w:val="clear" w:color="A9BEE4" w:fill="A9BEE4" w:themeColor="accent5" w:themeTint="75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 w:themeColor="accent5" w:themeFill="accent5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Color="accent5" w:themeFill="accent5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fill="E1EFD8" w:themeColor="accent6" w:themeTint="34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BCDBA8" w:fill="BCDBA8" w:themeColor="accent6" w:themeTint="75" w:themeFill="accent6" w:themeFillTint="75"/>
      </w:tcPr>
    </w:tblStylePr>
    <w:tblStylePr w:type="band1Vert">
      <w:tblPr/>
      <w:tcPr>
        <w:shd w:val="clear" w:color="BCDBA8" w:fill="BCDBA8" w:themeColor="accent6" w:themeTint="75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 w:themeColor="accent6" w:themeFill="accent6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Color="accent6" w:themeFill="accent6"/>
      </w:tcPr>
    </w:tblStylePr>
  </w:style>
  <w:style w:type="table" w:customStyle="1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Vert">
      <w:tblPr/>
      <w:tcPr>
        <w:shd w:val="clear" w:color="CBCBCB" w:fill="CBCBCB" w:themeColor="text1" w:themeTint="34" w:themeFill="text1" w:themeFillTint="34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  <w:tblStylePr w:type="firstCol">
      <w:rPr>
        <w:b/>
        <w:color w:val="7F7F7F" w:themeColor="text1" w:themeShade="95" w:themeTint="80"/>
      </w:rPr>
    </w:tblStylePr>
    <w:tblStylePr w:type="firstRow">
      <w:rPr>
        <w:b/>
        <w:color w:val="7F7F7F" w:themeColor="text1" w:themeShade="95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Col">
      <w:rPr>
        <w:b/>
        <w:color w:val="7F7F7F" w:themeColor="text1" w:themeShade="95" w:themeTint="80"/>
      </w:rPr>
    </w:tblStylePr>
    <w:tblStylePr w:type="lastRow">
      <w:rPr>
        <w:b/>
        <w:color w:val="7F7F7F" w:themeColor="text1" w:themeShade="95" w:themeTint="80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ACCCEA" w:themeColor="accent1" w:themeShade="95" w:themeTint="80"/>
        <w:sz w:val="22"/>
      </w:rPr>
      <w:tblPr/>
      <w:tcPr>
        <w:shd w:val="clear" w:color="DDEAF6" w:fill="DDEAF6" w:themeColor="accent1" w:themeTint="34" w:themeFill="accent1" w:themeFillTint="34"/>
      </w:tcPr>
    </w:tblStylePr>
    <w:tblStylePr w:type="band1Vert">
      <w:tblPr/>
      <w:tcPr>
        <w:shd w:val="clear" w:color="DDEAF6" w:fill="DDEAF6" w:themeColor="accent1" w:themeTint="34" w:themeFill="accent1" w:themeFillTint="34"/>
      </w:tcPr>
    </w:tblStylePr>
    <w:tblStylePr w:type="band2Horz">
      <w:rPr>
        <w:rFonts w:ascii="Arial" w:hAnsi="Arial"/>
        <w:color w:val="ACCCEA" w:themeColor="accent1" w:themeShade="95" w:themeTint="80"/>
        <w:sz w:val="22"/>
      </w:rPr>
    </w:tblStylePr>
    <w:tblStylePr w:type="firstCol">
      <w:rPr>
        <w:b/>
        <w:color w:val="ACCCEA" w:themeColor="accent1" w:themeShade="95" w:themeTint="80"/>
      </w:rPr>
    </w:tblStylePr>
    <w:tblStylePr w:type="firstRow">
      <w:rPr>
        <w:b/>
        <w:color w:val="ACCCEA" w:themeColor="accent1" w:themeShade="95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Col">
      <w:rPr>
        <w:b/>
        <w:color w:val="ACCCEA" w:themeColor="accent1" w:themeShade="95" w:themeTint="80"/>
      </w:rPr>
    </w:tblStylePr>
    <w:tblStylePr w:type="lastRow">
      <w:rPr>
        <w:b/>
        <w:color w:val="ACCCEA" w:themeColor="accent1" w:themeShade="95" w:themeTint="80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F4B184" w:themeColor="accent2" w:themeShade="95" w:themeTint="97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1Vert">
      <w:tblPr/>
      <w:tcPr>
        <w:shd w:val="clear" w:color="FBE5D6" w:fill="FBE5D6" w:themeColor="accent2" w:themeTint="32" w:themeFill="accent2" w:themeFillTint="32"/>
      </w:tcPr>
    </w:tblStylePr>
    <w:tblStylePr w:type="band2Horz">
      <w:rPr>
        <w:rFonts w:ascii="Arial" w:hAnsi="Arial"/>
        <w:color w:val="F4B184" w:themeColor="accent2" w:themeShade="95" w:themeTint="97"/>
        <w:sz w:val="22"/>
      </w:rPr>
    </w:tblStylePr>
    <w:tblStylePr w:type="firstCol">
      <w:rPr>
        <w:b/>
        <w:color w:val="F4B184" w:themeColor="accent2" w:themeShade="95" w:themeTint="97"/>
      </w:rPr>
    </w:tblStylePr>
    <w:tblStylePr w:type="firstRow">
      <w:rPr>
        <w:b/>
        <w:color w:val="F4B184" w:themeColor="accent2" w:themeShade="95" w:themeTint="97"/>
      </w:rPr>
      <w:tblPr/>
      <w:tcPr>
        <w:tcBorders>
          <w:bottom w:val="single" w:sz="12" w:space="0" w:color="F4B184" w:themeColor="accent2" w:themeTint="97"/>
        </w:tcBorders>
      </w:tcPr>
    </w:tblStylePr>
    <w:tblStylePr w:type="lastCol">
      <w:rPr>
        <w:b/>
        <w:color w:val="F4B184" w:themeColor="accent2" w:themeShade="95" w:themeTint="97"/>
      </w:rPr>
    </w:tblStylePr>
    <w:tblStylePr w:type="lastRow">
      <w:rPr>
        <w:b/>
        <w:color w:val="F4B184" w:themeColor="accent2" w:themeShade="95" w:themeTint="97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A5A5A5" w:themeColor="accent3" w:themeShade="95" w:themeTint="FE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1Vert">
      <w:tblPr/>
      <w:tcPr>
        <w:shd w:val="clear" w:color="ECECEC" w:fill="ECECEC" w:themeColor="accent3" w:themeTint="34" w:themeFill="accent3" w:themeFillTint="34"/>
      </w:tcPr>
    </w:tblStylePr>
    <w:tblStylePr w:type="band2Horz">
      <w:rPr>
        <w:rFonts w:ascii="Arial" w:hAnsi="Arial"/>
        <w:color w:val="A5A5A5" w:themeColor="accent3" w:themeShade="95" w:themeTint="FE"/>
        <w:sz w:val="22"/>
      </w:rPr>
    </w:tblStylePr>
    <w:tblStylePr w:type="firstCol">
      <w:rPr>
        <w:b/>
        <w:color w:val="A5A5A5" w:themeColor="accent3" w:themeShade="95" w:themeTint="FE"/>
      </w:rPr>
    </w:tblStylePr>
    <w:tblStylePr w:type="firstRow">
      <w:rPr>
        <w:b/>
        <w:color w:val="A5A5A5" w:themeColor="accent3" w:themeShade="95" w:themeTint="FE"/>
      </w:rPr>
      <w:tblPr/>
      <w:tcPr>
        <w:tcBorders>
          <w:bottom w:val="single" w:sz="12" w:space="0" w:color="A5A5A5" w:themeColor="accent3" w:themeTint="FE"/>
        </w:tcBorders>
      </w:tcPr>
    </w:tblStylePr>
    <w:tblStylePr w:type="lastCol">
      <w:rPr>
        <w:b/>
        <w:color w:val="A5A5A5" w:themeColor="accent3" w:themeShade="95" w:themeTint="FE"/>
      </w:rPr>
    </w:tblStylePr>
    <w:tblStylePr w:type="lastRow">
      <w:rPr>
        <w:b/>
        <w:color w:val="A5A5A5" w:themeColor="accent3" w:themeShade="95" w:themeTint="FE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FFD865" w:themeColor="accent4" w:themeShade="95" w:themeTint="9A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1Vert">
      <w:tblPr/>
      <w:tcPr>
        <w:shd w:val="clear" w:color="FFF2CB" w:fill="FFF2CB" w:themeColor="accent4" w:themeTint="34" w:themeFill="accent4" w:themeFillTint="34"/>
      </w:tcPr>
    </w:tblStylePr>
    <w:tblStylePr w:type="band2Horz">
      <w:rPr>
        <w:rFonts w:ascii="Arial" w:hAnsi="Arial"/>
        <w:color w:val="FFD865" w:themeColor="accent4" w:themeShade="95" w:themeTint="9A"/>
        <w:sz w:val="22"/>
      </w:rPr>
    </w:tblStylePr>
    <w:tblStylePr w:type="firstCol">
      <w:rPr>
        <w:b/>
        <w:color w:val="FFD865" w:themeColor="accent4" w:themeShade="95" w:themeTint="9A"/>
      </w:rPr>
    </w:tblStylePr>
    <w:tblStylePr w:type="firstRow">
      <w:rPr>
        <w:b/>
        <w:color w:val="FFD865" w:themeColor="accent4" w:themeShade="95" w:themeTint="9A"/>
      </w:rPr>
      <w:tblPr/>
      <w:tcPr>
        <w:tcBorders>
          <w:bottom w:val="single" w:sz="12" w:space="0" w:color="FFD865" w:themeColor="accent4" w:themeTint="9A"/>
        </w:tcBorders>
      </w:tcPr>
    </w:tblStylePr>
    <w:tblStylePr w:type="lastCol">
      <w:rPr>
        <w:b/>
        <w:color w:val="FFD865" w:themeColor="accent4" w:themeShade="95" w:themeTint="9A"/>
      </w:rPr>
    </w:tblStylePr>
    <w:tblStylePr w:type="lastRow">
      <w:rPr>
        <w:b/>
        <w:color w:val="FFD865" w:themeColor="accent4" w:themeShade="95" w:themeTint="9A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1Vert">
      <w:tblPr/>
      <w:tcPr>
        <w:shd w:val="clear" w:color="D8E2F3" w:fill="D8E2F3" w:themeColor="accent5" w:themeTint="34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1Vert">
      <w:tblPr/>
      <w:tcPr>
        <w:shd w:val="clear" w:color="E1EFD8" w:fill="E1EFD8" w:themeColor="accent6" w:themeTint="34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customStyle="1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F2F2F2" w:fill="F2F2F2" w:themeColor="text1" w:themeTint="00" w:themeFill="text1" w:themeFillTint="00"/>
      </w:tcPr>
    </w:tblStylePr>
    <w:tblStylePr w:type="band1Vert">
      <w:tblPr/>
      <w:tcPr>
        <w:shd w:val="clear" w:color="F2F2F2" w:fill="F2F2F2" w:themeColor="text1" w:themeTint="00" w:themeFill="text1" w:themeFillTint="00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Shade="95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ACCCEA" w:themeColor="accent1" w:themeShade="95" w:themeTint="80"/>
        <w:sz w:val="22"/>
      </w:rPr>
      <w:tblPr/>
      <w:tcPr>
        <w:shd w:val="clear" w:color="DDEAF6" w:fill="DDEAF6" w:themeColor="accent1" w:themeTint="34" w:themeFill="accent1" w:themeFillTint="34"/>
      </w:tcPr>
    </w:tblStylePr>
    <w:tblStylePr w:type="band1Vert">
      <w:tblPr/>
      <w:tcPr>
        <w:shd w:val="clear" w:color="DDEAF6" w:fill="DDEAF6" w:themeColor="accent1" w:themeTint="34" w:themeFill="accent1" w:themeFillTint="34"/>
      </w:tcPr>
    </w:tblStylePr>
    <w:tblStylePr w:type="band2Horz">
      <w:rPr>
        <w:rFonts w:ascii="Arial" w:hAnsi="Arial"/>
        <w:color w:val="ACCCEA" w:themeColor="accen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ACCCEA" w:themeColor="accen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ACCCEA" w:themeColor="accent1" w:themeShade="95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ACCCEA" w:themeColor="accent1" w:themeShade="95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CCCEA" w:themeColor="accent1" w:themeShade="95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F4B184" w:themeColor="accent2" w:themeShade="95" w:themeTint="97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1Vert">
      <w:tblPr/>
      <w:tcPr>
        <w:shd w:val="clear" w:color="FBE5D6" w:fill="FBE5D6" w:themeColor="accent2" w:themeTint="32" w:themeFill="accent2" w:themeFillTint="32"/>
      </w:tcPr>
    </w:tblStylePr>
    <w:tblStylePr w:type="band2Horz">
      <w:rPr>
        <w:rFonts w:ascii="Arial" w:hAnsi="Arial"/>
        <w:color w:val="F4B184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F4B184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firstRow">
      <w:rPr>
        <w:rFonts w:ascii="Arial" w:hAnsi="Arial"/>
        <w:b/>
        <w:color w:val="F4B184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F4B184" w:themeColor="accent2" w:themeShade="95" w:themeTint="97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F4B184" w:themeColor="accent2" w:themeShade="95" w:themeTint="97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A5A5A5" w:themeColor="accent3" w:themeShade="95" w:themeTint="FE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1Vert">
      <w:tblPr/>
      <w:tcPr>
        <w:shd w:val="clear" w:color="ECECEC" w:fill="ECECEC" w:themeColor="accent3" w:themeTint="34" w:themeFill="accent3" w:themeFillTint="34"/>
      </w:tcPr>
    </w:tblStylePr>
    <w:tblStylePr w:type="band2Horz">
      <w:rPr>
        <w:rFonts w:ascii="Arial" w:hAnsi="Arial"/>
        <w:color w:val="A5A5A5" w:themeColor="accent3" w:themeShade="95" w:themeTint="FE"/>
        <w:sz w:val="22"/>
      </w:rPr>
    </w:tblStylePr>
    <w:tblStylePr w:type="firstCol">
      <w:pPr>
        <w:jc w:val="right"/>
      </w:pPr>
      <w:rPr>
        <w:rFonts w:ascii="Arial" w:hAnsi="Arial"/>
        <w:i/>
        <w:color w:val="A5A5A5" w:themeColor="accent3" w:themeShade="95" w:themeTint="FE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firstRow">
      <w:rPr>
        <w:rFonts w:ascii="Arial" w:hAnsi="Arial"/>
        <w:b/>
        <w:color w:val="A5A5A5" w:themeColor="accent3" w:themeShade="95" w:themeTint="FE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A5A5A5" w:themeColor="accent3" w:themeShade="95" w:themeTint="FE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5A5A5" w:themeColor="accent3" w:themeShade="95" w:themeTint="FE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FFD865" w:themeColor="accent4" w:themeShade="95" w:themeTint="9A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1Vert">
      <w:tblPr/>
      <w:tcPr>
        <w:shd w:val="clear" w:color="FFF2CB" w:fill="FFF2CB" w:themeColor="accent4" w:themeTint="34" w:themeFill="accent4" w:themeFillTint="34"/>
      </w:tcPr>
    </w:tblStylePr>
    <w:tblStylePr w:type="band2Horz">
      <w:rPr>
        <w:rFonts w:ascii="Arial" w:hAnsi="Arial"/>
        <w:color w:val="FFD865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FFD865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firstRow">
      <w:rPr>
        <w:rFonts w:ascii="Arial" w:hAnsi="Arial"/>
        <w:b/>
        <w:color w:val="FFD865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FFD865" w:themeColor="accent4" w:themeShade="95" w:themeTint="9A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FFD865" w:themeColor="accent4" w:themeShade="95" w:themeTint="9A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1Vert">
      <w:tblPr/>
      <w:tcPr>
        <w:shd w:val="clear" w:color="D8E2F3" w:fill="D8E2F3" w:themeColor="accent5" w:themeTint="34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1Vert">
      <w:tblPr/>
      <w:tcPr>
        <w:shd w:val="clear" w:color="E1EFD8" w:fill="E1EFD8" w:themeColor="accent6" w:themeTint="34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BFBFBF" w:fill="BFBFBF" w:themeColor="text1" w:themeTint="40" w:themeFill="text1" w:themeFillTint="40"/>
      </w:tc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D5E5F4" w:fill="D5E5F4" w:themeColor="accent1" w:themeTint="40" w:themeFill="accent1" w:themeFillTint="40"/>
      </w:tcPr>
    </w:tblStylePr>
    <w:tblStylePr w:type="band1Vert">
      <w:tblPr/>
      <w:tcPr>
        <w:shd w:val="clear" w:color="D5E5F4" w:fill="D5E5F4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ADECB" w:fill="FADECB" w:themeColor="accent2" w:themeTint="40" w:themeFill="accent2" w:themeFillTint="40"/>
      </w:tcPr>
    </w:tblStylePr>
    <w:tblStylePr w:type="band1Vert">
      <w:tblPr/>
      <w:tcPr>
        <w:shd w:val="clear" w:color="FADECB" w:fill="FADECB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E8E8E8" w:fill="E8E8E8" w:themeColor="accent3" w:themeTint="40" w:themeFill="accent3" w:themeFillTint="40"/>
      </w:tcPr>
    </w:tblStylePr>
    <w:tblStylePr w:type="band1Vert">
      <w:tblPr/>
      <w:tcPr>
        <w:shd w:val="clear" w:color="E8E8E8" w:fill="E8E8E8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EFBF" w:fill="FFEFBF" w:themeColor="accent4" w:themeTint="40" w:themeFill="accent4" w:themeFillTint="40"/>
      </w:tcPr>
    </w:tblStylePr>
    <w:tblStylePr w:type="band1Vert">
      <w:tblPr/>
      <w:tcPr>
        <w:shd w:val="clear" w:color="FFEFBF" w:fill="FFEFBF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CFDBF0" w:fill="CFDBF0" w:themeColor="accent5" w:themeTint="40" w:themeFill="accent5" w:themeFillTint="40"/>
      </w:tcPr>
    </w:tblStylePr>
    <w:tblStylePr w:type="band1Vert">
      <w:tblPr/>
      <w:tcPr>
        <w:shd w:val="clear" w:color="CFDBF0" w:fill="CFDB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DAEBCF" w:fill="DAEBCF" w:themeColor="accent6" w:themeTint="40" w:themeFill="accent6" w:themeFillTint="40"/>
      </w:tcPr>
    </w:tblStylePr>
    <w:tblStylePr w:type="band1Vert">
      <w:tblPr/>
      <w:tcPr>
        <w:shd w:val="clear" w:color="DAEBCF" w:fill="DAEBCF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</w:style>
  <w:style w:type="table" w:customStyle="1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Color="accent1" w:themeTint="4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Color="accent2" w:themeTint="40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Color="accent3" w:themeTint="40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Color="accent4" w:themeTint="40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Color="accent5" w:themeTint="4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Color="accent6" w:themeTint="4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</w:style>
  <w:style w:type="table" w:customStyle="1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 w:themeColor="accent3" w:themeTint="9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 w:themeColor="accent5" w:themeTint="9A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 w:themeColor="accent6" w:themeTint="98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Color="accent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Color="accent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Color="accent4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Color="text1" w:themeTint="80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fill="5B9BD5" w:themeColor="accent1" w:themeFill="accent1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Color="accent1" w:themeFill="accent1"/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Color="accent1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Color="accent1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Color="accent1" w:themeFill="accent1"/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fill="F4B184" w:themeColor="accent2" w:themeTint="97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Color="accent2" w:themeTint="97" w:themeFill="accent2" w:themeFillTint="97"/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Color="accent2" w:themeTint="97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Color="accent2" w:themeTint="97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fill="F4B184" w:themeColor="accent2" w:themeTint="97" w:themeFill="accent2" w:themeFillTint="97"/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fill="C9C9C9" w:themeColor="accent3" w:themeTint="98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Color="accent3" w:themeTint="98" w:themeFill="accent3" w:themeFillTint="98"/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Color="accent3" w:themeTint="98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Color="accent3" w:themeTint="98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fill="C9C9C9" w:themeColor="accent3" w:themeTint="98" w:themeFill="accent3" w:themeFillTint="98"/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fill="FFD865" w:themeColor="accent4" w:themeTint="9A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Color="accent4" w:themeTint="9A" w:themeFill="accent4" w:themeFillTint="9A"/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Color="accent4" w:themeTint="9A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Color="accent4" w:themeTint="9A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fill="FFD865" w:themeColor="accent4" w:themeTint="9A" w:themeFill="accent4" w:themeFillTint="9A"/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fill="8DA9DB" w:themeColor="accent5" w:themeTint="9A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Color="accent5" w:themeTint="9A" w:themeFill="accent5" w:themeFillTint="9A"/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Color="accent5" w:themeTint="9A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Color="accent5" w:themeTint="9A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fill="8DA9DB" w:themeColor="accent5" w:themeTint="9A" w:themeFill="accent5" w:themeFillTint="9A"/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fill="A9D08E" w:themeColor="accent6" w:themeTint="98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Color="accent6" w:themeTint="98" w:themeFill="accent6" w:themeFillTint="98"/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Color="accent6" w:themeTint="98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Color="accent6" w:themeTint="98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fill="A9D08E" w:themeColor="accent6" w:themeTint="98" w:themeFill="accent6" w:themeFillTint="98"/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customStyle="1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fill="D5E5F4" w:themeColor="accent1" w:themeTint="40" w:themeFill="accent1" w:themeFillTint="40"/>
      </w:tcPr>
    </w:tblStylePr>
    <w:tblStylePr w:type="band1Vert">
      <w:tblPr/>
      <w:tcPr>
        <w:shd w:val="clear" w:color="D5E5F4" w:fill="D5E5F4" w:themeColor="accent1" w:themeTint="40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F4B184" w:themeColor="accent2" w:themeShade="95" w:themeTint="97"/>
        <w:sz w:val="22"/>
      </w:rPr>
      <w:tblPr/>
      <w:tcPr>
        <w:shd w:val="clear" w:color="FADECB" w:fill="FADECB" w:themeColor="accent2" w:themeTint="40" w:themeFill="accent2" w:themeFillTint="40"/>
      </w:tcPr>
    </w:tblStylePr>
    <w:tblStylePr w:type="band1Vert">
      <w:tblPr/>
      <w:tcPr>
        <w:shd w:val="clear" w:color="FADECB" w:fill="FADECB" w:themeColor="accent2" w:themeTint="40" w:themeFill="accent2" w:themeFillTint="40"/>
      </w:tcPr>
    </w:tblStylePr>
    <w:tblStylePr w:type="band2Horz">
      <w:rPr>
        <w:rFonts w:ascii="Arial" w:hAnsi="Arial"/>
        <w:color w:val="F4B184" w:themeColor="accent2" w:themeShade="95" w:themeTint="97"/>
        <w:sz w:val="22"/>
      </w:rPr>
    </w:tblStylePr>
    <w:tblStylePr w:type="firstCol">
      <w:rPr>
        <w:b/>
        <w:color w:val="F4B184" w:themeColor="accent2" w:themeShade="95" w:themeTint="97"/>
      </w:rPr>
    </w:tblStylePr>
    <w:tblStylePr w:type="firstRow">
      <w:rPr>
        <w:b/>
        <w:color w:val="F4B184" w:themeColor="accent2" w:themeShade="95" w:themeTint="97"/>
      </w:rPr>
      <w:tblPr/>
      <w:tcPr>
        <w:tcBorders>
          <w:bottom w:val="single" w:sz="4" w:space="0" w:color="F4B184" w:themeColor="accent2" w:themeTint="97"/>
        </w:tcBorders>
      </w:tcPr>
    </w:tblStylePr>
    <w:tblStylePr w:type="lastCol">
      <w:rPr>
        <w:b/>
        <w:color w:val="F4B184" w:themeColor="accent2" w:themeShade="95" w:themeTint="97"/>
      </w:rPr>
    </w:tblStylePr>
    <w:tblStylePr w:type="lastRow">
      <w:rPr>
        <w:b/>
        <w:color w:val="F4B184" w:themeColor="accent2" w:themeShade="95" w:themeTint="97"/>
      </w:rPr>
      <w:tblPr/>
      <w:tcPr>
        <w:tcBorders>
          <w:top w:val="single" w:sz="4" w:space="0" w:color="F4B184" w:themeColor="accent2" w:themeTint="97"/>
        </w:tcBorders>
      </w:tc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C9C9C9" w:themeColor="accent3" w:themeShade="95" w:themeTint="98"/>
        <w:sz w:val="22"/>
      </w:rPr>
      <w:tblPr/>
      <w:tcPr>
        <w:shd w:val="clear" w:color="E8E8E8" w:fill="E8E8E8" w:themeColor="accent3" w:themeTint="40" w:themeFill="accent3" w:themeFillTint="40"/>
      </w:tcPr>
    </w:tblStylePr>
    <w:tblStylePr w:type="band1Vert">
      <w:tblPr/>
      <w:tcPr>
        <w:shd w:val="clear" w:color="E8E8E8" w:fill="E8E8E8" w:themeColor="accent3" w:themeTint="40" w:themeFill="accent3" w:themeFillTint="40"/>
      </w:tcPr>
    </w:tblStylePr>
    <w:tblStylePr w:type="band2Horz">
      <w:rPr>
        <w:rFonts w:ascii="Arial" w:hAnsi="Arial"/>
        <w:color w:val="C9C9C9" w:themeColor="accent3" w:themeShade="95" w:themeTint="98"/>
        <w:sz w:val="22"/>
      </w:rPr>
    </w:tblStylePr>
    <w:tblStylePr w:type="firstCol">
      <w:rPr>
        <w:b/>
        <w:color w:val="C9C9C9" w:themeColor="accent3" w:themeShade="95" w:themeTint="98"/>
      </w:rPr>
    </w:tblStylePr>
    <w:tblStylePr w:type="firstRow">
      <w:rPr>
        <w:b/>
        <w:color w:val="C9C9C9" w:themeColor="accent3" w:themeShade="95" w:themeTint="98"/>
      </w:rPr>
      <w:tblPr/>
      <w:tcPr>
        <w:tcBorders>
          <w:bottom w:val="single" w:sz="4" w:space="0" w:color="C9C9C9" w:themeColor="accent3" w:themeTint="98"/>
        </w:tcBorders>
      </w:tcPr>
    </w:tblStylePr>
    <w:tblStylePr w:type="lastCol">
      <w:rPr>
        <w:b/>
        <w:color w:val="C9C9C9" w:themeColor="accent3" w:themeShade="95" w:themeTint="98"/>
      </w:rPr>
    </w:tblStylePr>
    <w:tblStylePr w:type="lastRow">
      <w:rPr>
        <w:b/>
        <w:color w:val="C9C9C9" w:themeColor="accent3" w:themeShade="95" w:themeTint="98"/>
      </w:rPr>
      <w:tblPr/>
      <w:tcPr>
        <w:tcBorders>
          <w:top w:val="single" w:sz="4" w:space="0" w:color="C9C9C9" w:themeColor="accent3" w:themeTint="98"/>
        </w:tcBorders>
      </w:tc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FFD865" w:themeColor="accent4" w:themeShade="95" w:themeTint="9A"/>
        <w:sz w:val="22"/>
      </w:rPr>
      <w:tblPr/>
      <w:tcPr>
        <w:shd w:val="clear" w:color="FFEFBF" w:fill="FFEFBF" w:themeColor="accent4" w:themeTint="40" w:themeFill="accent4" w:themeFillTint="40"/>
      </w:tcPr>
    </w:tblStylePr>
    <w:tblStylePr w:type="band1Vert">
      <w:tblPr/>
      <w:tcPr>
        <w:shd w:val="clear" w:color="FFEFBF" w:fill="FFEFBF" w:themeColor="accent4" w:themeTint="40" w:themeFill="accent4" w:themeFillTint="40"/>
      </w:tcPr>
    </w:tblStylePr>
    <w:tblStylePr w:type="band2Horz">
      <w:rPr>
        <w:rFonts w:ascii="Arial" w:hAnsi="Arial"/>
        <w:color w:val="FFD865" w:themeColor="accent4" w:themeShade="95" w:themeTint="9A"/>
        <w:sz w:val="22"/>
      </w:rPr>
    </w:tblStylePr>
    <w:tblStylePr w:type="firstCol">
      <w:rPr>
        <w:b/>
        <w:color w:val="FFD865" w:themeColor="accent4" w:themeShade="95" w:themeTint="9A"/>
      </w:rPr>
    </w:tblStylePr>
    <w:tblStylePr w:type="firstRow">
      <w:rPr>
        <w:b/>
        <w:color w:val="FFD865" w:themeColor="accent4" w:themeShade="95" w:themeTint="9A"/>
      </w:rPr>
      <w:tblPr/>
      <w:tcPr>
        <w:tcBorders>
          <w:bottom w:val="single" w:sz="4" w:space="0" w:color="FFD865" w:themeColor="accent4" w:themeTint="9A"/>
        </w:tcBorders>
      </w:tcPr>
    </w:tblStylePr>
    <w:tblStylePr w:type="lastCol">
      <w:rPr>
        <w:b/>
        <w:color w:val="FFD865" w:themeColor="accent4" w:themeShade="95" w:themeTint="9A"/>
      </w:rPr>
    </w:tblStylePr>
    <w:tblStylePr w:type="lastRow">
      <w:rPr>
        <w:b/>
        <w:color w:val="FFD865" w:themeColor="accent4" w:themeShade="95" w:themeTint="9A"/>
      </w:rPr>
      <w:tblPr/>
      <w:tcPr>
        <w:tcBorders>
          <w:top w:val="single" w:sz="4" w:space="0" w:color="FFD865" w:themeColor="accent4" w:themeTint="9A"/>
        </w:tcBorders>
      </w:tc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8DA9DB" w:themeColor="accent5" w:themeShade="95" w:themeTint="9A"/>
        <w:sz w:val="22"/>
      </w:rPr>
      <w:tblPr/>
      <w:tcPr>
        <w:shd w:val="clear" w:color="CFDBF0" w:fill="CFDBF0" w:themeColor="accent5" w:themeTint="40" w:themeFill="accent5" w:themeFillTint="40"/>
      </w:tcPr>
    </w:tblStylePr>
    <w:tblStylePr w:type="band1Vert">
      <w:tblPr/>
      <w:tcPr>
        <w:shd w:val="clear" w:color="CFDBF0" w:fill="CFDBF0" w:themeColor="accent5" w:themeTint="40" w:themeFill="accent5" w:themeFillTint="40"/>
      </w:tcPr>
    </w:tblStylePr>
    <w:tblStylePr w:type="band2Horz">
      <w:rPr>
        <w:rFonts w:ascii="Arial" w:hAnsi="Arial"/>
        <w:color w:val="8DA9DB" w:themeColor="accent5" w:themeShade="95" w:themeTint="9A"/>
        <w:sz w:val="22"/>
      </w:rPr>
    </w:tblStylePr>
    <w:tblStylePr w:type="firstCol">
      <w:rPr>
        <w:b/>
        <w:color w:val="8DA9DB" w:themeColor="accent5" w:themeShade="95" w:themeTint="9A"/>
      </w:rPr>
    </w:tblStylePr>
    <w:tblStylePr w:type="firstRow">
      <w:rPr>
        <w:b/>
        <w:color w:val="8DA9DB" w:themeColor="accent5" w:themeShade="95" w:themeTint="9A"/>
      </w:rPr>
      <w:tblPr/>
      <w:tcPr>
        <w:tcBorders>
          <w:bottom w:val="single" w:sz="4" w:space="0" w:color="8DA9DB" w:themeColor="accent5" w:themeTint="9A"/>
        </w:tcBorders>
      </w:tcPr>
    </w:tblStylePr>
    <w:tblStylePr w:type="lastCol">
      <w:rPr>
        <w:b/>
        <w:color w:val="8DA9DB" w:themeColor="accent5" w:themeShade="95" w:themeTint="9A"/>
      </w:rPr>
    </w:tblStylePr>
    <w:tblStylePr w:type="lastRow">
      <w:rPr>
        <w:b/>
        <w:color w:val="8DA9DB" w:themeColor="accent5" w:themeShade="95" w:themeTint="9A"/>
      </w:rPr>
      <w:tblPr/>
      <w:tcPr>
        <w:tcBorders>
          <w:top w:val="single" w:sz="4" w:space="0" w:color="8DA9DB" w:themeColor="accent5" w:themeTint="9A"/>
        </w:tcBorders>
      </w:tc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A9D08E" w:themeColor="accent6" w:themeShade="95" w:themeTint="98"/>
        <w:sz w:val="22"/>
      </w:rPr>
      <w:tblPr/>
      <w:tcPr>
        <w:shd w:val="clear" w:color="DAEBCF" w:fill="DAEBCF" w:themeColor="accent6" w:themeTint="40" w:themeFill="accent6" w:themeFillTint="40"/>
      </w:tcPr>
    </w:tblStylePr>
    <w:tblStylePr w:type="band1Vert">
      <w:tblPr/>
      <w:tcPr>
        <w:shd w:val="clear" w:color="DAEBCF" w:fill="DAEBCF" w:themeColor="accent6" w:themeTint="40" w:themeFill="accent6" w:themeFillTint="40"/>
      </w:tcPr>
    </w:tblStylePr>
    <w:tblStylePr w:type="band2Horz">
      <w:rPr>
        <w:rFonts w:ascii="Arial" w:hAnsi="Arial"/>
        <w:color w:val="A9D08E" w:themeColor="accent6" w:themeShade="95" w:themeTint="98"/>
        <w:sz w:val="22"/>
      </w:rPr>
    </w:tblStylePr>
    <w:tblStylePr w:type="firstCol">
      <w:rPr>
        <w:b/>
        <w:color w:val="A9D08E" w:themeColor="accent6" w:themeShade="95" w:themeTint="98"/>
      </w:rPr>
    </w:tblStylePr>
    <w:tblStylePr w:type="firstRow">
      <w:rPr>
        <w:b/>
        <w:color w:val="A9D08E" w:themeColor="accent6" w:themeShade="95" w:themeTint="98"/>
      </w:rPr>
      <w:tblPr/>
      <w:tcPr>
        <w:tcBorders>
          <w:bottom w:val="single" w:sz="4" w:space="0" w:color="A9D08E" w:themeColor="accent6" w:themeTint="98"/>
        </w:tcBorders>
      </w:tcPr>
    </w:tblStylePr>
    <w:tblStylePr w:type="lastCol">
      <w:rPr>
        <w:b/>
        <w:color w:val="A9D08E" w:themeColor="accent6" w:themeShade="95" w:themeTint="98"/>
      </w:rPr>
    </w:tblStylePr>
    <w:tblStylePr w:type="lastRow">
      <w:rPr>
        <w:b/>
        <w:color w:val="A9D08E" w:themeColor="accent6" w:themeShade="95" w:themeTint="98"/>
      </w:rPr>
      <w:tblPr/>
      <w:tcPr>
        <w:tcBorders>
          <w:top w:val="single" w:sz="4" w:space="0" w:color="A9D08E" w:themeColor="accent6" w:themeTint="98"/>
        </w:tcBorders>
      </w:tcPr>
    </w:tblStylePr>
  </w:style>
  <w:style w:type="table" w:customStyle="1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fill="D5E5F4" w:themeColor="accent1" w:themeTint="40" w:themeFill="accent1" w:themeFillTint="40"/>
      </w:tcPr>
    </w:tblStylePr>
    <w:tblStylePr w:type="band1Vert">
      <w:tblPr/>
      <w:tcPr>
        <w:shd w:val="clear" w:color="D5E5F4" w:fill="D5E5F4" w:themeColor="accent1" w:themeTint="40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F4B184" w:themeColor="accent2" w:themeShade="95" w:themeTint="97"/>
        <w:sz w:val="22"/>
      </w:rPr>
      <w:tblPr/>
      <w:tcPr>
        <w:shd w:val="clear" w:color="FADECB" w:fill="FADECB" w:themeColor="accent2" w:themeTint="40" w:themeFill="accent2" w:themeFillTint="40"/>
      </w:tcPr>
    </w:tblStylePr>
    <w:tblStylePr w:type="band1Vert">
      <w:tblPr/>
      <w:tcPr>
        <w:shd w:val="clear" w:color="FADECB" w:fill="FADECB" w:themeColor="accent2" w:themeTint="40" w:themeFill="accent2" w:themeFillTint="40"/>
      </w:tcPr>
    </w:tblStylePr>
    <w:tblStylePr w:type="band2Horz">
      <w:rPr>
        <w:rFonts w:ascii="Arial" w:hAnsi="Arial"/>
        <w:color w:val="F4B184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F4B184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firstRow">
      <w:rPr>
        <w:rFonts w:ascii="Arial" w:hAnsi="Arial"/>
        <w:i/>
        <w:color w:val="F4B184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F4B184" w:themeColor="accent2" w:themeShade="95" w:themeTint="97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4B184" w:themeColor="accent2" w:themeShade="95" w:themeTint="97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C9C9C9" w:themeColor="accent3" w:themeShade="95" w:themeTint="98"/>
        <w:sz w:val="22"/>
      </w:rPr>
      <w:tblPr/>
      <w:tcPr>
        <w:shd w:val="clear" w:color="E8E8E8" w:fill="E8E8E8" w:themeColor="accent3" w:themeTint="40" w:themeFill="accent3" w:themeFillTint="40"/>
      </w:tcPr>
    </w:tblStylePr>
    <w:tblStylePr w:type="band1Vert">
      <w:tblPr/>
      <w:tcPr>
        <w:shd w:val="clear" w:color="E8E8E8" w:fill="E8E8E8" w:themeColor="accent3" w:themeTint="40" w:themeFill="accent3" w:themeFillTint="40"/>
      </w:tcPr>
    </w:tblStylePr>
    <w:tblStylePr w:type="band2Horz">
      <w:rPr>
        <w:rFonts w:ascii="Arial" w:hAnsi="Arial"/>
        <w:color w:val="C9C9C9" w:themeColor="accent3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C9C9C9" w:themeColor="accent3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C9C9C9" w:themeColor="accent3" w:themeShade="95" w:themeTint="98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C9C9C9" w:themeColor="accent3" w:themeShade="95" w:themeTint="98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9C9C9" w:themeColor="accent3" w:themeShade="95" w:themeTint="98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FFD865" w:themeColor="accent4" w:themeShade="95" w:themeTint="9A"/>
        <w:sz w:val="22"/>
      </w:rPr>
      <w:tblPr/>
      <w:tcPr>
        <w:shd w:val="clear" w:color="FFEFBF" w:fill="FFEFBF" w:themeColor="accent4" w:themeTint="40" w:themeFill="accent4" w:themeFillTint="40"/>
      </w:tcPr>
    </w:tblStylePr>
    <w:tblStylePr w:type="band1Vert">
      <w:tblPr/>
      <w:tcPr>
        <w:shd w:val="clear" w:color="FFEFBF" w:fill="FFEFBF" w:themeColor="accent4" w:themeTint="40" w:themeFill="accent4" w:themeFillTint="40"/>
      </w:tcPr>
    </w:tblStylePr>
    <w:tblStylePr w:type="band2Horz">
      <w:rPr>
        <w:rFonts w:ascii="Arial" w:hAnsi="Arial"/>
        <w:color w:val="FFD865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FFD865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FFD865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FFD865" w:themeColor="accent4" w:themeShade="95" w:themeTint="9A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FD865" w:themeColor="accent4" w:themeShade="95" w:themeTint="9A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8DA9DB" w:themeColor="accent5" w:themeShade="95" w:themeTint="9A"/>
        <w:sz w:val="22"/>
      </w:rPr>
      <w:tblPr/>
      <w:tcPr>
        <w:shd w:val="clear" w:color="CFDBF0" w:fill="CFDBF0" w:themeColor="accent5" w:themeTint="40" w:themeFill="accent5" w:themeFillTint="40"/>
      </w:tcPr>
    </w:tblStylePr>
    <w:tblStylePr w:type="band1Vert">
      <w:tblPr/>
      <w:tcPr>
        <w:shd w:val="clear" w:color="CFDBF0" w:fill="CFDBF0" w:themeColor="accent5" w:themeTint="40" w:themeFill="accent5" w:themeFillTint="40"/>
      </w:tcPr>
    </w:tblStylePr>
    <w:tblStylePr w:type="band2Horz">
      <w:rPr>
        <w:rFonts w:ascii="Arial" w:hAnsi="Arial"/>
        <w:color w:val="8DA9DB" w:themeColor="accent5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8DA9DB" w:themeColor="accent5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8DA9DB" w:themeColor="accent5" w:themeShade="95" w:themeTint="9A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8DA9DB" w:themeColor="accent5" w:themeShade="95" w:themeTint="9A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8DA9DB" w:themeColor="accent5" w:themeShade="95" w:themeTint="9A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A9D08E" w:themeColor="accent6" w:themeShade="95" w:themeTint="98"/>
        <w:sz w:val="22"/>
      </w:rPr>
      <w:tblPr/>
      <w:tcPr>
        <w:shd w:val="clear" w:color="DAEBCF" w:fill="DAEBCF" w:themeColor="accent6" w:themeTint="40" w:themeFill="accent6" w:themeFillTint="40"/>
      </w:tcPr>
    </w:tblStylePr>
    <w:tblStylePr w:type="band1Vert">
      <w:tblPr/>
      <w:tcPr>
        <w:shd w:val="clear" w:color="DAEBCF" w:fill="DAEBCF" w:themeColor="accent6" w:themeTint="40" w:themeFill="accent6" w:themeFillTint="40"/>
      </w:tcPr>
    </w:tblStylePr>
    <w:tblStylePr w:type="band2Horz">
      <w:rPr>
        <w:rFonts w:ascii="Arial" w:hAnsi="Arial"/>
        <w:color w:val="A9D08E" w:themeColor="accent6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A9D08E" w:themeColor="accent6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A9D08E" w:themeColor="accent6" w:themeShade="95" w:themeTint="98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A9D08E" w:themeColor="accent6" w:themeShade="95" w:themeTint="98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A9D08E" w:themeColor="accent6" w:themeShade="95" w:themeTint="98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Color="text1" w:themeTint="00" w:themeFill="text1" w:themeFillTint="0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Color="text1" w:themeTint="00" w:themeFill="text1" w:themeFillTint="0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Color="text1" w:themeTint="00" w:themeFill="text1" w:themeFillTint="0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Color="text1" w:themeTint="00" w:themeFill="text1" w:themeFillTint="0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 w:themeColor="accent1" w:themeTint="EA" w:themeFill="accent1" w:themeFillTint="EA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Color="accent2" w:themeTint="97" w:themeFill="accent2" w:themeFillTint="97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Color="accent3" w:themeTint="FE" w:themeFill="accent3" w:themeFillTint="FE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Color="accent4" w:themeTint="9A" w:themeFill="accent4" w:themeFillTint="9A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 w:themeColor="accent5" w:themeFill="accent5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Color="accent6" w:themeFill="accent6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paragraph" w:styleId="EndnoteText">
    <w:name w:val="endnote text"/>
    <w:basedOn w:val="Normal"/>
    <w:link w:val="a2"/>
    <w:uiPriority w:val="99"/>
    <w:semiHidden/>
    <w:unhideWhenUsed/>
    <w:rPr>
      <w:sz w:val="20"/>
    </w:rPr>
  </w:style>
  <w:style w:type="character" w:customStyle="1" w:styleId="a2">
    <w:name w:val="Текст концевой сноски Знак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customStyle="1" w:styleId="Heading1">
    <w:name w:val="Heading 1"/>
    <w:basedOn w:val="Normal"/>
    <w:next w:val="Normal"/>
    <w:link w:val="1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customStyle="1" w:styleId="1">
    <w:name w:val="Заголовок 1 Знак"/>
    <w:basedOn w:val="DefaultParagraphFont"/>
    <w:link w:val="Heading1"/>
    <w:uiPriority w:val="9"/>
    <w:rPr>
      <w:rFonts w:ascii="Times New Roman CYR" w:hAnsi="Times New Roman CYR" w:eastAsiaTheme="minorEastAsia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DefaultParagraphFont"/>
    <w:uiPriority w:val="99"/>
    <w:rPr>
      <w:rFonts w:cs="Times New Roman"/>
      <w:b w:val="0"/>
      <w:color w:val="106BBE"/>
    </w:rPr>
  </w:style>
  <w:style w:type="character" w:customStyle="1" w:styleId="a4">
    <w:name w:val="Цветовое выделение"/>
    <w:uiPriority w:val="99"/>
    <w:rPr>
      <w:b/>
      <w:color w:val="26282F"/>
    </w:rPr>
  </w:style>
  <w:style w:type="paragraph" w:customStyle="1" w:styleId="a5">
    <w:name w:val="Информация о версии"/>
    <w:basedOn w:val="Normal"/>
    <w:next w:val="Normal"/>
    <w:uiPriority w:val="99"/>
    <w:pPr>
      <w:spacing w:before="75"/>
      <w:ind w:left="170" w:firstLine="0"/>
    </w:pPr>
    <w:rPr>
      <w:i/>
      <w:iCs/>
      <w:color w:val="353842"/>
    </w:rPr>
  </w:style>
  <w:style w:type="paragraph" w:customStyle="1" w:styleId="a6">
    <w:name w:val="Нормальный (таблица)"/>
    <w:basedOn w:val="Normal"/>
    <w:next w:val="Normal"/>
    <w:uiPriority w:val="99"/>
    <w:pPr>
      <w:ind w:firstLine="0"/>
    </w:pPr>
  </w:style>
  <w:style w:type="paragraph" w:customStyle="1" w:styleId="a7">
    <w:name w:val="Прижатый влево"/>
    <w:basedOn w:val="Normal"/>
    <w:next w:val="Normal"/>
    <w:uiPriority w:val="99"/>
    <w:pPr>
      <w:ind w:firstLine="0"/>
      <w:jc w:val="left"/>
    </w:pPr>
  </w:style>
  <w:style w:type="paragraph" w:styleId="FootnoteText">
    <w:name w:val="footnote text"/>
    <w:basedOn w:val="Normal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basedOn w:val="DefaultParagraphFont"/>
    <w:link w:val="FootnoteText"/>
    <w:uiPriority w:val="99"/>
    <w:semiHidden/>
    <w:rPr>
      <w:rFonts w:ascii="Times New Roman CYR" w:hAnsi="Times New Roman CYR" w:eastAsiaTheme="minorEastAsia" w:cs="Times New Roman CYR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BalloonText">
    <w:name w:val="Balloon Text"/>
    <w:basedOn w:val="Normal"/>
    <w:link w:val="a9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DefaultParagraphFont"/>
    <w:link w:val="BalloonText"/>
    <w:uiPriority w:val="99"/>
    <w:semiHidden/>
    <w:rPr>
      <w:rFonts w:ascii="Segoe UI" w:hAnsi="Segoe UI" w:eastAsiaTheme="minorEastAsia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Header">
    <w:name w:val="Header"/>
    <w:basedOn w:val="Normal"/>
    <w:link w:val="a10"/>
    <w:uiPriority w:val="99"/>
    <w:pPr>
      <w:widowControl/>
      <w:tabs>
        <w:tab w:val="center" w:pos="4153"/>
        <w:tab w:val="right" w:pos="8306"/>
      </w:tabs>
      <w:spacing w:before="120" w:after="240"/>
      <w:ind w:firstLine="709"/>
      <w:jc w:val="center"/>
    </w:pPr>
    <w:rPr>
      <w:rFonts w:ascii="Times New Roman" w:eastAsia="Times New Roman" w:hAnsi="Times New Roman" w:cs="Times New Roman"/>
      <w:b/>
      <w:caps/>
      <w:sz w:val="28"/>
      <w:szCs w:val="20"/>
    </w:rPr>
  </w:style>
  <w:style w:type="character" w:customStyle="1" w:styleId="a10">
    <w:name w:val="Верхний колонтитул Знак"/>
    <w:basedOn w:val="DefaultParagraphFont"/>
    <w:link w:val="Header"/>
    <w:uiPriority w:val="99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BodyText2">
    <w:name w:val="Body Text 2"/>
    <w:basedOn w:val="Normal"/>
    <w:link w:val="20"/>
    <w:pPr>
      <w:widowControl/>
      <w:spacing w:before="120"/>
      <w:ind w:right="5102" w:firstLine="0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2 Знак"/>
    <w:basedOn w:val="DefaultParagraphFont"/>
    <w:link w:val="BodyText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hAnsi="Calibri" w:eastAsiaTheme="minorEastAsia" w:cs="Calibri"/>
      <w:lang w:eastAsia="ru-RU"/>
    </w:rPr>
  </w:style>
  <w:style w:type="paragraph" w:customStyle="1" w:styleId="Footer">
    <w:name w:val="Footer"/>
    <w:basedOn w:val="Normal"/>
    <w:link w:val="a11"/>
    <w:uiPriority w:val="99"/>
    <w:unhideWhenUsed/>
    <w:pPr>
      <w:tabs>
        <w:tab w:val="center" w:pos="4677"/>
        <w:tab w:val="right" w:pos="9355"/>
      </w:tabs>
    </w:pPr>
  </w:style>
  <w:style w:type="character" w:customStyle="1" w:styleId="a11">
    <w:name w:val="Нижний колонтитул Знак"/>
    <w:basedOn w:val="DefaultParagraphFont"/>
    <w:link w:val="Footer"/>
    <w:uiPriority w:val="99"/>
    <w:rPr>
      <w:rFonts w:ascii="Times New Roman CYR" w:hAnsi="Times New Roman CYR" w:eastAsiaTheme="minorEastAsia" w:cs="Times New Roman CYR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formattext">
    <w:name w:val="formattext"/>
    <w:basedOn w:val="Normal"/>
    <w:pPr>
      <w:widowControl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0">
    <w:name w:val="consplusnormal0"/>
    <w:basedOn w:val="Normal"/>
    <w:pPr>
      <w:widowControl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jpeg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3C4A0C94-F43D-4084-821D-57A8AB2FB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Рудковская Татьяна Александровна</dc:creator>
  <cp:revision>10</cp:revision>
  <dcterms:created xsi:type="dcterms:W3CDTF">2026-03-26T08:30:00Z</dcterms:created>
  <dcterms:modified xsi:type="dcterms:W3CDTF">2026-06-16T03:03:31Z</dcterms:modified>
</cp:coreProperties>
</file>