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3.0 -->
  <w:body>
    <w:p w:rsidR="005F24B2">
      <w:pPr>
        <w:pStyle w:val="BodyText2"/>
        <w:tabs>
          <w:tab w:val="left" w:pos="8080"/>
        </w:tabs>
        <w:spacing w:before="0"/>
        <w:ind w:right="5670"/>
        <w:jc w:val="left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ab/>
        <w:t xml:space="preserve"> </w:t>
      </w:r>
    </w:p>
    <w:tbl>
      <w:tblPr>
        <w:tblW w:w="9638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01"/>
        <w:gridCol w:w="5669"/>
        <w:gridCol w:w="2268"/>
      </w:tblGrid>
      <w:tr>
        <w:tblPrEx>
          <w:tblW w:w="9638" w:type="dxa"/>
          <w:tblBorders>
            <w:bottom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1701" w:type="dxa"/>
            <w:tcBorders>
              <w:bottom w:val="nil"/>
            </w:tcBorders>
          </w:tcPr>
          <w:bookmarkStart w:id="0" w:name="РегДанные"/>
          <w:bookmarkStart w:id="1" w:name="_GoBack"/>
          <w:p w:rsidR="005F24B2">
            <w:pPr>
              <w:pStyle w:val="BodyText2"/>
              <w:spacing w:before="360"/>
              <w:ind w:right="0"/>
              <w:jc w:val="left"/>
              <w:rPr>
                <w:rFonts w:ascii="PT Astra Serif" w:eastAsia="PT Astra Serif" w:hAnsi="PT Astra Serif" w:cs="PT Astra Serif"/>
                <w:szCs w:val="26"/>
              </w:rPr>
            </w:pP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begin"/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instrText xml:space="preserve"> FORMTEXT </w:instrText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t>&lt;Дата&gt;</w:t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end"/>
            </w:r>
            <w:bookmarkEnd w:id="0"/>
            <w:bookmarkEnd w:id="1"/>
          </w:p>
        </w:tc>
        <w:tc>
          <w:tcPr>
            <w:tcW w:w="5669" w:type="dxa"/>
            <w:tcBorders>
              <w:bottom w:val="nil"/>
            </w:tcBorders>
            <w:tcMar>
              <w:right w:w="85" w:type="dxa"/>
            </w:tcMar>
          </w:tcPr>
          <w:p w:rsidR="005F24B2">
            <w:pPr>
              <w:pStyle w:val="BodyText2"/>
              <w:spacing w:before="360"/>
              <w:ind w:right="0"/>
              <w:jc w:val="right"/>
              <w:rPr>
                <w:rFonts w:ascii="PT Astra Serif" w:eastAsia="PT Astra Serif" w:hAnsi="PT Astra Serif" w:cs="PT Astra Serif"/>
                <w:szCs w:val="26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5F24B2">
            <w:pPr>
              <w:pStyle w:val="BodyText2"/>
              <w:spacing w:before="360"/>
              <w:ind w:right="0"/>
              <w:jc w:val="right"/>
              <w:rPr>
                <w:rFonts w:ascii="PT Astra Serif" w:eastAsia="PT Astra Serif" w:hAnsi="PT Astra Serif" w:cs="PT Astra Serif"/>
                <w:szCs w:val="26"/>
                <w:lang w:val="en-US"/>
              </w:rPr>
            </w:pPr>
            <w:bookmarkStart w:id="2" w:name="РегНомер"/>
            <w:r>
              <w:rPr>
                <w:rFonts w:ascii="PT Astra Serif" w:eastAsia="PT Astra Serif" w:hAnsi="PT Astra Serif" w:cs="PT Astra Serif"/>
                <w:szCs w:val="26"/>
              </w:rPr>
              <w:t>№</w:t>
            </w:r>
            <w:r>
              <w:rPr>
                <w:rFonts w:ascii="PT Astra Serif" w:eastAsia="PT Astra Serif" w:hAnsi="PT Astra Serif" w:cs="PT Astra Serif"/>
                <w:szCs w:val="26"/>
                <w:lang w:val="en-US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begin"/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instrText xml:space="preserve"> FORMTEXT </w:instrText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t>&lt;Номер&gt;</w:t>
            </w:r>
            <w:r>
              <w:rPr>
                <w:rFonts w:ascii="PT Astra Serif" w:eastAsia="PT Astra Serif" w:hAnsi="PT Astra Serif" w:cs="PT Astra Serif"/>
                <w:spacing w:val="20"/>
                <w:szCs w:val="26"/>
              </w:rPr>
              <w:fldChar w:fldCharType="end"/>
            </w:r>
            <w:bookmarkEnd w:id="2"/>
          </w:p>
        </w:tc>
      </w:tr>
    </w:tbl>
    <w:p w:rsidR="005F24B2">
      <w:pPr>
        <w:pStyle w:val="BodyText2"/>
        <w:tabs>
          <w:tab w:val="left" w:pos="8080"/>
        </w:tabs>
        <w:spacing w:before="0"/>
        <w:ind w:right="5670"/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Cs w:val="26"/>
        </w:rPr>
        <w:tab/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ab/>
        <w:t xml:space="preserve">  </w:t>
      </w:r>
    </w:p>
    <w:p w:rsidR="005F24B2">
      <w:pPr>
        <w:ind w:firstLine="0"/>
        <w:jc w:val="center"/>
        <w:rPr>
          <w:rFonts w:ascii="PT Astra Serif" w:hAnsi="PT Astra Serif" w:cs="PT Astra Serif"/>
          <w:szCs w:val="26"/>
        </w:rPr>
      </w:pPr>
      <w:r>
        <w:rPr>
          <w:rFonts w:ascii="PT Astra Serif" w:hAnsi="PT Astra Serif" w:cs="PT Astra Serif"/>
          <w:szCs w:val="26"/>
        </w:rPr>
        <w:t>Об утверждении Порядка накопления твердых коммунальных отходов (в том числе их раздельного накопления)</w:t>
      </w:r>
    </w:p>
    <w:p w:rsidR="005F24B2">
      <w:pPr>
        <w:jc w:val="both"/>
        <w:rPr>
          <w:rFonts w:ascii="PT Astra Serif" w:hAnsi="PT Astra Serif"/>
          <w:szCs w:val="26"/>
        </w:rPr>
      </w:pPr>
    </w:p>
    <w:p w:rsidR="005F24B2">
      <w:pPr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В соответствии с Федеральным законом от 24 июня 1998 года № 89-ФЗ «Об отходах производства и потребления», постановлением Правительства Российской Федерации </w:t>
      </w:r>
      <w:r>
        <w:rPr>
          <w:szCs w:val="26"/>
        </w:rPr>
        <w:t>от 7 марта 2025 года № 293 «О порядке обращения с твердыми коммунальными отходами», Законом Томской</w:t>
      </w:r>
      <w:r>
        <w:rPr>
          <w:szCs w:val="26"/>
        </w:rPr>
        <w:t xml:space="preserve"> области от 10 ноября 2017 года № 118-ОЗ «О разграничении полномочий органов государственной власти Томской области в сфере обращения с отходами производства и потребления на территории Томской области»</w:t>
      </w:r>
    </w:p>
    <w:p w:rsidR="005F24B2">
      <w:pPr>
        <w:tabs>
          <w:tab w:val="center" w:pos="5032"/>
        </w:tabs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ПОСТАНОВЛЯЮ:</w:t>
      </w:r>
      <w:r>
        <w:rPr>
          <w:rFonts w:ascii="PT Astra Serif" w:hAnsi="PT Astra Serif"/>
          <w:szCs w:val="26"/>
        </w:rPr>
        <w:tab/>
      </w:r>
    </w:p>
    <w:p w:rsidR="005F24B2">
      <w:pPr>
        <w:pStyle w:val="ListParagraph"/>
        <w:numPr>
          <w:ilvl w:val="0"/>
          <w:numId w:val="11"/>
        </w:numPr>
        <w:ind w:left="0" w:firstLine="709"/>
        <w:jc w:val="both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 xml:space="preserve">Утвердить Порядок накопления твердых коммунальных отходов (в том числе их раздельного накопления) согласно </w:t>
      </w:r>
      <w:r>
        <w:rPr>
          <w:rFonts w:ascii="PT Astra Serif" w:hAnsi="PT Astra Serif"/>
          <w:szCs w:val="26"/>
        </w:rPr>
        <w:t>приложению</w:t>
      </w:r>
      <w:r>
        <w:rPr>
          <w:rFonts w:ascii="PT Astra Serif" w:hAnsi="PT Astra Serif"/>
          <w:szCs w:val="26"/>
        </w:rPr>
        <w:t xml:space="preserve"> к настоящему постановлению.</w:t>
      </w:r>
    </w:p>
    <w:p w:rsidR="005F24B2">
      <w:pPr>
        <w:pStyle w:val="ListParagraph"/>
        <w:numPr>
          <w:ilvl w:val="0"/>
          <w:numId w:val="11"/>
        </w:numPr>
        <w:ind w:lef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Cs w:val="26"/>
        </w:rPr>
        <w:t>Признать утратившим силу постановление Администрации Томской области от 23 октября 2018 г. № 411а «Об утвержде</w:t>
      </w:r>
      <w:r>
        <w:rPr>
          <w:rFonts w:ascii="PT Astra Serif" w:hAnsi="PT Astra Serif"/>
          <w:szCs w:val="26"/>
        </w:rPr>
        <w:t>нии порядка накопления твердых коммунальных отходов (в том числе их раздельного накопления».</w:t>
      </w:r>
    </w:p>
    <w:p w:rsidR="005F24B2">
      <w:pPr>
        <w:pStyle w:val="ListParagraph"/>
        <w:numPr>
          <w:ilvl w:val="0"/>
          <w:numId w:val="11"/>
        </w:numPr>
        <w:ind w:left="0" w:firstLine="709"/>
        <w:jc w:val="both"/>
        <w:rPr>
          <w:rFonts w:ascii="PT Astra Serif" w:hAnsi="PT Astra Serif"/>
        </w:rPr>
      </w:pPr>
      <w:r>
        <w:rPr>
          <w:rFonts w:ascii="PT Astra Serif" w:eastAsia="PT Astra Serif" w:hAnsi="PT Astra Serif" w:cs="PT Astra Serif"/>
          <w:color w:val="000000"/>
        </w:rPr>
        <w:t>Настоящее постановление вступает в силу со дня его официального опубликования и распространяет свое действие на правоотношения, возникшие с 01.09.2025.</w:t>
      </w:r>
    </w:p>
    <w:p w:rsidR="005F24B2">
      <w:pPr>
        <w:ind w:firstLine="0"/>
        <w:jc w:val="both"/>
        <w:rPr>
          <w:rFonts w:ascii="PT Astra Serif" w:hAnsi="PT Astra Serif"/>
          <w:szCs w:val="26"/>
        </w:rPr>
      </w:pPr>
    </w:p>
    <w:p w:rsidR="005F24B2">
      <w:pPr>
        <w:ind w:firstLine="0"/>
        <w:jc w:val="both"/>
        <w:rPr>
          <w:rFonts w:ascii="PT Astra Serif" w:hAnsi="PT Astra Serif"/>
          <w:szCs w:val="26"/>
        </w:rPr>
      </w:pPr>
    </w:p>
    <w:tbl>
      <w:tblPr>
        <w:tblStyle w:val="TableGrid"/>
        <w:tblpPr w:leftFromText="180" w:rightFromText="180" w:vertAnchor="text" w:horzAnchor="margin" w:tblpY="209"/>
        <w:tblW w:w="93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845"/>
        <w:gridCol w:w="3157"/>
        <w:gridCol w:w="2335"/>
      </w:tblGrid>
      <w:tr>
        <w:tblPrEx>
          <w:tblW w:w="933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77"/>
        </w:trPr>
        <w:tc>
          <w:tcPr>
            <w:tcW w:w="3845" w:type="dxa"/>
          </w:tcPr>
          <w:p w:rsidR="005F24B2">
            <w:pPr>
              <w:ind w:firstLine="0"/>
              <w:rPr>
                <w:rFonts w:ascii="PT Astra Serif" w:hAnsi="PT Astra Serif" w:cs="PT Astra Serif"/>
                <w:color w:val="000000" w:themeColor="text1"/>
                <w:szCs w:val="26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6"/>
              </w:rPr>
              <w:t>Губернатор Томской области</w:t>
            </w:r>
          </w:p>
        </w:tc>
        <w:bookmarkStart w:id="3" w:name="ШтампЭП"/>
        <w:bookmarkEnd w:id="3"/>
        <w:tc>
          <w:tcPr>
            <w:tcW w:w="3157" w:type="dxa"/>
            <w:tcMar>
              <w:left w:w="0" w:type="dxa"/>
              <w:right w:w="0" w:type="dxa"/>
            </w:tcMar>
          </w:tcPr>
          <w:p w:rsidR="005F24B2">
            <w:pPr>
              <w:rPr>
                <w:rFonts w:ascii="PT Astra Serif" w:hAnsi="PT Astra Serif" w:cs="PT Astra Serif"/>
                <w:color w:val="000000" w:themeColor="text1"/>
                <w:szCs w:val="26"/>
              </w:rPr>
            </w:pPr>
            <w:r>
              <w:rPr>
                <w:rFonts w:ascii="PT Astra Serif" w:eastAsia="PT Astra Serif" w:hAnsi="PT Astra Serif" w:cs="PT Astra Serif"/>
                <w:szCs w:val="26"/>
              </w:rPr>
              <w:fldChar w:fldCharType="begin"/>
            </w:r>
            <w:bookmarkStart w:id="4" w:name="Штамп"/>
            <w:r>
              <w:rPr>
                <w:rFonts w:ascii="PT Astra Serif" w:eastAsia="PT Astra Serif" w:hAnsi="PT Astra Serif" w:cs="PT Astra Serif"/>
                <w:szCs w:val="26"/>
              </w:rPr>
              <w:instrText xml:space="preserve"> FORMTEXT </w:instrText>
            </w:r>
            <w:r>
              <w:rPr>
                <w:rFonts w:ascii="PT Astra Serif" w:eastAsia="PT Astra Serif" w:hAnsi="PT Astra Serif" w:cs="PT Astra Serif"/>
                <w:szCs w:val="26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zCs w:val="26"/>
              </w:rPr>
              <w:t>&lt;Штамп ЭП&gt;</w:t>
            </w:r>
            <w:r>
              <w:rPr>
                <w:rFonts w:ascii="PT Astra Serif" w:eastAsia="PT Astra Serif" w:hAnsi="PT Astra Serif" w:cs="PT Astra Serif"/>
                <w:szCs w:val="26"/>
              </w:rPr>
              <w:fldChar w:fldCharType="end"/>
            </w:r>
            <w:bookmarkEnd w:id="4"/>
          </w:p>
        </w:tc>
        <w:tc>
          <w:tcPr>
            <w:tcW w:w="2335" w:type="dxa"/>
            <w:vAlign w:val="bottom"/>
          </w:tcPr>
          <w:p w:rsidR="005F24B2">
            <w:pPr>
              <w:pStyle w:val="ListNumber"/>
              <w:numPr>
                <w:ilvl w:val="0"/>
                <w:numId w:val="0"/>
              </w:numPr>
              <w:spacing w:before="0"/>
              <w:jc w:val="right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В.В.Мазур</w:t>
            </w:r>
          </w:p>
        </w:tc>
      </w:tr>
    </w:tbl>
    <w:p w:rsidR="005F24B2">
      <w:pPr>
        <w:ind w:firstLine="0"/>
        <w:jc w:val="both"/>
        <w:rPr>
          <w:rFonts w:ascii="PT Astra Serif" w:hAnsi="PT Astra Serif"/>
          <w:sz w:val="28"/>
          <w:szCs w:val="28"/>
        </w:rPr>
      </w:pPr>
    </w:p>
    <w:p w:rsidR="005F24B2">
      <w:pPr>
        <w:tabs>
          <w:tab w:val="left" w:pos="7938"/>
        </w:tabs>
        <w:ind w:firstLine="0"/>
        <w:contextualSpacing/>
        <w:rPr>
          <w:rFonts w:ascii="PT Astra Serif" w:hAnsi="PT Astra Serif"/>
          <w:sz w:val="28"/>
          <w:szCs w:val="28"/>
        </w:rPr>
      </w:pPr>
    </w:p>
    <w:p w:rsidR="005F24B2">
      <w:pPr>
        <w:pStyle w:val="BodyText3"/>
        <w:spacing w:before="0"/>
        <w:contextualSpacing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ab/>
      </w: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pStyle w:val="BodyText3"/>
        <w:spacing w:before="0"/>
        <w:jc w:val="both"/>
        <w:rPr>
          <w:rFonts w:ascii="PT Astra Serif" w:hAnsi="PT Astra Serif"/>
          <w:sz w:val="26"/>
          <w:szCs w:val="26"/>
        </w:rPr>
      </w:pPr>
    </w:p>
    <w:p w:rsidR="005F24B2">
      <w:pPr>
        <w:ind w:firstLine="0"/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</w:rPr>
        <w:t>Чиркин В.Н.</w:t>
      </w:r>
    </w:p>
    <w:p w:rsidR="005F24B2">
      <w:pPr>
        <w:ind w:firstLine="0"/>
        <w:rPr>
          <w:rFonts w:ascii="PT Astra Serif" w:hAnsi="PT Astra Serif"/>
          <w:sz w:val="20"/>
        </w:rPr>
        <w:sectPr>
          <w:headerReference w:type="default" r:id="rId5"/>
          <w:headerReference w:type="first" r:id="rId6"/>
          <w:pgSz w:w="11907" w:h="16840"/>
          <w:pgMar w:top="1418" w:right="851" w:bottom="426" w:left="1701" w:header="720" w:footer="567" w:gutter="0"/>
          <w:pgNumType w:start="1"/>
          <w:cols w:space="720"/>
          <w:titlePg/>
          <w:docGrid w:linePitch="360"/>
        </w:sectPr>
      </w:pPr>
    </w:p>
    <w:p w:rsidR="005F24B2">
      <w:pPr>
        <w:ind w:firstLine="0"/>
        <w:rPr>
          <w:rFonts w:ascii="PT Astra Serif" w:hAnsi="PT Astra Serif"/>
          <w:sz w:val="20"/>
        </w:rPr>
      </w:pPr>
      <w:r>
        <w:rPr>
          <w:rFonts w:ascii="PT Astra Serif" w:hAnsi="PT Astra Serif"/>
          <w:sz w:val="20"/>
        </w:rPr>
        <w:br w:type="page"/>
      </w:r>
    </w:p>
    <w:p w:rsidR="005F24B2">
      <w:pPr>
        <w:ind w:firstLine="0"/>
        <w:rPr>
          <w:rFonts w:ascii="PT Astra Serif" w:hAnsi="PT Astra Serif"/>
          <w:sz w:val="20"/>
        </w:rPr>
        <w:sectPr>
          <w:type w:val="continuous"/>
          <w:pgSz w:w="11907" w:h="16840"/>
          <w:pgMar w:top="1418" w:right="851" w:bottom="426" w:left="1701" w:header="720" w:footer="567" w:gutter="0"/>
          <w:pgNumType w:start="1"/>
          <w:cols w:space="720"/>
          <w:titlePg/>
          <w:docGrid w:linePitch="360"/>
        </w:sectPr>
      </w:pPr>
    </w:p>
    <w:p w:rsidR="005F24B2">
      <w:pPr>
        <w:pStyle w:val="Default"/>
        <w:ind w:left="5387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</w:p>
    <w:p w:rsidR="005F24B2">
      <w:pPr>
        <w:pStyle w:val="Default"/>
        <w:ind w:left="5387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</w:t>
      </w:r>
      <w:r>
        <w:rPr>
          <w:sz w:val="26"/>
          <w:szCs w:val="26"/>
        </w:rPr>
        <w:br/>
        <w:t xml:space="preserve">Администрации Томской области </w:t>
      </w:r>
    </w:p>
    <w:p w:rsidR="005F24B2">
      <w:pPr>
        <w:pStyle w:val="Default"/>
        <w:ind w:left="5387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от </w:t>
      </w:r>
      <w:r>
        <w:rPr>
          <w:rFonts w:eastAsia="PT Astra Serif"/>
          <w:color w:val="auto"/>
          <w:spacing w:val="20"/>
          <w:sz w:val="26"/>
          <w:szCs w:val="26"/>
        </w:rPr>
        <w:fldChar w:fldCharType="begin"/>
      </w:r>
      <w:r>
        <w:rPr>
          <w:rFonts w:eastAsia="PT Astra Serif"/>
          <w:color w:val="auto"/>
          <w:spacing w:val="20"/>
          <w:sz w:val="26"/>
          <w:szCs w:val="26"/>
        </w:rPr>
        <w:instrText xml:space="preserve"> FORMTEXT </w:instrText>
      </w:r>
      <w:r>
        <w:rPr>
          <w:rFonts w:eastAsia="PT Astra Serif"/>
          <w:color w:val="auto"/>
          <w:spacing w:val="20"/>
          <w:sz w:val="26"/>
          <w:szCs w:val="26"/>
        </w:rPr>
        <w:fldChar w:fldCharType="separate"/>
      </w:r>
      <w:r>
        <w:rPr>
          <w:rFonts w:eastAsia="PT Astra Serif"/>
          <w:color w:val="auto"/>
          <w:spacing w:val="20"/>
          <w:sz w:val="26"/>
          <w:szCs w:val="26"/>
        </w:rPr>
        <w:t>&lt;Дата&gt;</w:t>
      </w:r>
      <w:r>
        <w:rPr>
          <w:rFonts w:eastAsia="PT Astra Serif"/>
          <w:color w:val="auto"/>
          <w:spacing w:val="20"/>
          <w:sz w:val="26"/>
          <w:szCs w:val="26"/>
        </w:rPr>
        <w:fldChar w:fldCharType="end"/>
      </w:r>
      <w:r>
        <w:rPr>
          <w:rFonts w:eastAsia="PT Astra Serif"/>
          <w:color w:val="auto"/>
          <w:spacing w:val="20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№ </w:t>
      </w:r>
      <w:r>
        <w:rPr>
          <w:rFonts w:eastAsia="PT Astra Serif"/>
          <w:color w:val="auto"/>
          <w:spacing w:val="20"/>
          <w:sz w:val="26"/>
          <w:szCs w:val="26"/>
        </w:rPr>
        <w:fldChar w:fldCharType="begin"/>
      </w:r>
      <w:r>
        <w:rPr>
          <w:rFonts w:eastAsia="PT Astra Serif"/>
          <w:color w:val="auto"/>
          <w:spacing w:val="20"/>
          <w:sz w:val="26"/>
          <w:szCs w:val="26"/>
        </w:rPr>
        <w:instrText xml:space="preserve"> FORMTEXT </w:instrText>
      </w:r>
      <w:r>
        <w:rPr>
          <w:rFonts w:eastAsia="PT Astra Serif"/>
          <w:color w:val="auto"/>
          <w:spacing w:val="20"/>
          <w:sz w:val="26"/>
          <w:szCs w:val="26"/>
        </w:rPr>
        <w:fldChar w:fldCharType="separate"/>
      </w:r>
      <w:r>
        <w:rPr>
          <w:rFonts w:eastAsia="PT Astra Serif"/>
          <w:color w:val="auto"/>
          <w:spacing w:val="20"/>
          <w:sz w:val="26"/>
          <w:szCs w:val="26"/>
        </w:rPr>
        <w:t>&lt;Номер&gt;</w:t>
      </w:r>
      <w:r>
        <w:rPr>
          <w:rFonts w:eastAsia="PT Astra Serif"/>
          <w:color w:val="auto"/>
          <w:spacing w:val="20"/>
          <w:sz w:val="26"/>
          <w:szCs w:val="26"/>
        </w:rPr>
        <w:fldChar w:fldCharType="end"/>
      </w:r>
    </w:p>
    <w:p w:rsidR="005F24B2">
      <w:pPr>
        <w:ind w:firstLine="0"/>
        <w:rPr>
          <w:rFonts w:ascii="PT Astra Serif" w:hAnsi="PT Astra Serif"/>
          <w:szCs w:val="26"/>
        </w:rPr>
      </w:pPr>
    </w:p>
    <w:p w:rsidR="005F24B2">
      <w:pPr>
        <w:tabs>
          <w:tab w:val="left" w:pos="3807"/>
          <w:tab w:val="center" w:pos="4676"/>
        </w:tabs>
        <w:ind w:firstLine="0"/>
        <w:jc w:val="center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Порядок накопления твердых коммунальных отходов (в том числе их раздельного накопления)</w:t>
      </w:r>
    </w:p>
    <w:p w:rsidR="005F24B2">
      <w:pPr>
        <w:tabs>
          <w:tab w:val="left" w:pos="3807"/>
          <w:tab w:val="center" w:pos="4676"/>
        </w:tabs>
        <w:ind w:firstLine="0"/>
        <w:jc w:val="center"/>
        <w:rPr>
          <w:rFonts w:ascii="PT Astra Serif" w:hAnsi="PT Astra Serif"/>
          <w:szCs w:val="26"/>
        </w:rPr>
      </w:pPr>
    </w:p>
    <w:p w:rsidR="005F24B2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1. Наст</w:t>
      </w:r>
      <w:r>
        <w:rPr>
          <w:rFonts w:ascii="PT Astra Serif" w:hAnsi="PT Astra Serif"/>
          <w:sz w:val="26"/>
          <w:szCs w:val="26"/>
        </w:rPr>
        <w:t>оящий Порядок устанавливает требования к организации накопления твердых коммунальных отходов (далее - ТКО), в том числе их раздельного накопления, на территории Томской области.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 Накопление ТКО на территории муниципальных образований Томской области осущ</w:t>
      </w:r>
      <w:r>
        <w:rPr>
          <w:rFonts w:ascii="PT Astra Serif" w:hAnsi="PT Astra Serif"/>
          <w:sz w:val="26"/>
          <w:szCs w:val="26"/>
        </w:rPr>
        <w:t>ествляется в соответствии с территориальной схемой обращения с отходами</w:t>
      </w:r>
      <w:r w:rsidR="002C2A59">
        <w:rPr>
          <w:rFonts w:ascii="PT Astra Serif" w:hAnsi="PT Astra Serif"/>
          <w:sz w:val="26"/>
          <w:szCs w:val="26"/>
        </w:rPr>
        <w:t xml:space="preserve"> производства и потребления Томской области</w:t>
      </w:r>
      <w:r>
        <w:rPr>
          <w:rFonts w:ascii="PT Astra Serif" w:hAnsi="PT Astra Serif"/>
          <w:sz w:val="26"/>
          <w:szCs w:val="26"/>
        </w:rPr>
        <w:t xml:space="preserve"> (далее - территориальная схема), утверждаемой уполномоченным органом, и требованиями законодательства об охране окружающей среды, законодательства в</w:t>
      </w:r>
      <w:r>
        <w:rPr>
          <w:rFonts w:ascii="PT Astra Serif" w:hAnsi="PT Astra Serif"/>
          <w:sz w:val="26"/>
          <w:szCs w:val="26"/>
        </w:rPr>
        <w:t xml:space="preserve"> области обеспечения санитарно-эпидемиологического благополучия населения и иного законодательства Российской Федерации.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3. Накопление ТКО осуществляется потребителями в соответствии с договором на оказание услуг по обращению с ТКО следующими способами и в</w:t>
      </w:r>
      <w:r>
        <w:rPr>
          <w:rFonts w:ascii="PT Astra Serif" w:hAnsi="PT Astra Serif"/>
          <w:sz w:val="26"/>
          <w:szCs w:val="26"/>
        </w:rPr>
        <w:t xml:space="preserve"> следующих местах (площадках) накопления ТКО: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в контейнеры, расположенные в мусороприемных камерах (при наличии соответствующей внутридомовой инженерной системы);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в контейнеры и (или) бункеры, расположенные на контейнерной площадке;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в) в контейнеры</w:t>
      </w:r>
      <w:r>
        <w:rPr>
          <w:rFonts w:ascii="PT Astra Serif" w:hAnsi="PT Astra Serif"/>
          <w:sz w:val="26"/>
          <w:szCs w:val="26"/>
        </w:rPr>
        <w:t xml:space="preserve">, расположенные на территории домовладений;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г) в контейнеры, расположенные в техническом помещении (за исключением многоквартирных домов);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д) в контейнеры и (или) бункеры, расположенные в системах подземного накопления твердых коммунальных отходов.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4. Накопление крупногабаритных отходов осуществляется потребителями в соответствии с договором на оказание услуг по обращению с ТКО следующими способами и в следующих местах (площадках) накопления ТКО: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в бункеры, расположенные на контейнерных площадках;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в бункеры, расположенные на специальных площадках для складирования крупногабаритных отходов;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в) навалом в специально отведенном для складирования крупногабаритных отходов месте контейнерной площа</w:t>
      </w:r>
      <w:r>
        <w:rPr>
          <w:rFonts w:ascii="PT Astra Serif" w:hAnsi="PT Astra Serif"/>
          <w:sz w:val="26"/>
          <w:szCs w:val="26"/>
        </w:rPr>
        <w:t xml:space="preserve">дки;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г) навалом на специальных площадках для складирования крупногабаритных отходов;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5. Содержание контейнерных площадок осуществляют собственники контейнерных площадок, если иное не предусмотрено законодательством Российской Федерации в области обращения</w:t>
      </w:r>
      <w:r>
        <w:rPr>
          <w:rFonts w:ascii="PT Astra Serif" w:hAnsi="PT Astra Serif"/>
          <w:sz w:val="26"/>
          <w:szCs w:val="26"/>
        </w:rPr>
        <w:t xml:space="preserve"> с отходами производства и потребления.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6. Лица, владеющие местами (площадками) накопления ТКО на праве собственности, обязаны выполнить требования о включении сведений о таких площадках в реестр в порядке, установленном Правилами обустройства мест (площад</w:t>
      </w:r>
      <w:r>
        <w:rPr>
          <w:rFonts w:ascii="PT Astra Serif" w:hAnsi="PT Astra Serif"/>
          <w:sz w:val="26"/>
          <w:szCs w:val="26"/>
        </w:rPr>
        <w:t>ок) накопления ТКО и ведения их реестра, утвержденными постановлением Правительства Российской Федерации от 31 августа 2018 г. № 1039 «Об утверждении Правил обустройства мест (площадок) накопления твердых коммунальных отходов и ведения их реестра».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7. Запр</w:t>
      </w:r>
      <w:r>
        <w:rPr>
          <w:rFonts w:ascii="PT Astra Serif" w:hAnsi="PT Astra Serif"/>
          <w:sz w:val="26"/>
          <w:szCs w:val="26"/>
        </w:rPr>
        <w:t xml:space="preserve">ещается складирование: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а) в контейнерах и (или) бункерах или иных накопителях горящих, раскаленных или горячих отходов, снега и льда, осветительных приборов и электрических ламп, содержащих ртуть, батарей и аккумуляторов, медицинских отходов, отходов стро</w:t>
      </w:r>
      <w:r>
        <w:rPr>
          <w:rFonts w:ascii="PT Astra Serif" w:hAnsi="PT Astra Serif"/>
          <w:sz w:val="26"/>
          <w:szCs w:val="26"/>
        </w:rPr>
        <w:t>ительства и ремонта (за исключением текущего), а также иных отходов, которые могут повредить контейнеры, мусоровозы или иные транспортные средства или нарушить режим работы объектов обработки, энергетической утилизации, утилизации ТКО путем производства из</w:t>
      </w:r>
      <w:r>
        <w:rPr>
          <w:rFonts w:ascii="PT Astra Serif" w:hAnsi="PT Astra Serif"/>
          <w:sz w:val="26"/>
          <w:szCs w:val="26"/>
        </w:rPr>
        <w:t xml:space="preserve"> их органической части искусственных грунтов, обезвреживания и захоронения твердых коммунальных отходов;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б) ТКО вне контейнеров и (или) бункеров или иных накопителей, в контейнеры и (или) бункеры или иные накопители, не предназначенные для таких видов отх</w:t>
      </w:r>
      <w:r>
        <w:rPr>
          <w:rFonts w:ascii="PT Astra Serif" w:hAnsi="PT Astra Serif"/>
          <w:sz w:val="26"/>
          <w:szCs w:val="26"/>
        </w:rPr>
        <w:t xml:space="preserve">одов, а также на территории, прилегающей к месту (площадке) накопления твердых коммунальных отходов, за исключением случаев, установленных законодательством Российской Федерации;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в) отходов, образовавшихся при уходе за древесно-кустарниковыми посадками, в</w:t>
      </w:r>
      <w:r>
        <w:rPr>
          <w:rFonts w:ascii="PT Astra Serif" w:hAnsi="PT Astra Serif"/>
          <w:sz w:val="26"/>
          <w:szCs w:val="26"/>
        </w:rPr>
        <w:t xml:space="preserve"> местах (площадках) накопления твердых коммунальных отходов.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8. Раздельное накопление ТКО предусматривает разделение ТКО потребителями по видам отходов, группам отходов, группам однородных отходов.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9. Собственники мест (площадок) накопления ТКО вправе уста</w:t>
      </w:r>
      <w:r>
        <w:rPr>
          <w:rFonts w:ascii="PT Astra Serif" w:hAnsi="PT Astra Serif"/>
          <w:sz w:val="26"/>
          <w:szCs w:val="26"/>
        </w:rPr>
        <w:t xml:space="preserve">навливать емкости, определенные пунктом 10 настоящего Порядка, для раздельного накопления ТКО.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Организация мест сбора вторичных ресурсов, входящих в состав ТКО, на контейнерных площадках и специальных площадках для складирования крупногабаритных отходов о</w:t>
      </w:r>
      <w:r>
        <w:rPr>
          <w:rFonts w:ascii="PT Astra Serif" w:hAnsi="PT Astra Serif"/>
          <w:sz w:val="26"/>
          <w:szCs w:val="26"/>
        </w:rPr>
        <w:t>существляется при условии письменного согласия регионального оператора.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10. Организация раздельного накопления ТКО осуществляется следующими способами: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1) установка </w:t>
      </w:r>
      <w:r>
        <w:rPr>
          <w:rFonts w:ascii="PT Astra Serif" w:hAnsi="PT Astra Serif"/>
          <w:sz w:val="26"/>
          <w:szCs w:val="26"/>
        </w:rPr>
        <w:t>фандоматов</w:t>
      </w:r>
      <w:r>
        <w:rPr>
          <w:rFonts w:ascii="PT Astra Serif" w:hAnsi="PT Astra Serif"/>
          <w:sz w:val="26"/>
          <w:szCs w:val="26"/>
        </w:rPr>
        <w:t xml:space="preserve">, специальных контейнеров и (или) бункеров, для </w:t>
      </w:r>
      <w:r>
        <w:rPr>
          <w:rFonts w:ascii="PT Astra Serif" w:hAnsi="PT Astra Serif"/>
          <w:sz w:val="26"/>
          <w:szCs w:val="26"/>
        </w:rPr>
        <w:t>раздельного накопления: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а) незагр</w:t>
      </w:r>
      <w:r>
        <w:rPr>
          <w:rFonts w:ascii="PT Astra Serif" w:hAnsi="PT Astra Serif"/>
          <w:sz w:val="26"/>
          <w:szCs w:val="26"/>
        </w:rPr>
        <w:t xml:space="preserve">язненных пластмассовых изделий;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б) незагрязненных отходов стекла и изделий из стекла;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в) незагрязненного лома и отходов черных и цветных металлов;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г) бумаги и изделий из бумаги, утративших потребительские свойства;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д) отходов пищевой продукции, исключая </w:t>
      </w:r>
      <w:r>
        <w:rPr>
          <w:rFonts w:ascii="PT Astra Serif" w:hAnsi="PT Astra Serif"/>
          <w:sz w:val="26"/>
          <w:szCs w:val="26"/>
        </w:rPr>
        <w:t>напитки и табачные изделия, утративших свои потребительские свойства.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2) создание пунктов приема вторичного сырья или организация специальных площадок раздельного накопления ТКО;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3) организация передвижных пунктов приема вторичного сырья.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11.  Раздельное н</w:t>
      </w:r>
      <w:r>
        <w:rPr>
          <w:rFonts w:ascii="PT Astra Serif" w:hAnsi="PT Astra Serif"/>
          <w:sz w:val="26"/>
          <w:szCs w:val="26"/>
        </w:rPr>
        <w:t>акопление смешанных (несортированных) отходов и смешанных вторичных ресурсов в составе ТКО осуществляется в контейнеры и (или) бункеры или иные накопители следующих цветов: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серый или иной цвет со средствами маркировки серого цвета – для накопления смешанны</w:t>
      </w:r>
      <w:r>
        <w:rPr>
          <w:rFonts w:ascii="PT Astra Serif" w:hAnsi="PT Astra Serif"/>
          <w:sz w:val="26"/>
          <w:szCs w:val="26"/>
        </w:rPr>
        <w:t>х (несортированных) ТКО;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синий или иной цвет со средствами маркировки синего цвета – для накопления нескольких групп однородных отходов.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Раздельное накопления ТКО по видам отходов, группам отходов и группам однородных отходов осуществляется в контейнеры и </w:t>
      </w:r>
      <w:r>
        <w:rPr>
          <w:rFonts w:ascii="PT Astra Serif" w:hAnsi="PT Astra Serif"/>
          <w:sz w:val="26"/>
          <w:szCs w:val="26"/>
        </w:rPr>
        <w:t>(или) бункеры или иные накопители следующих цветов: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оранжевый цвет – для незагрязненных пластмассовых изделий, утративших свои потребительские свойства (исключая резиновые изделия), и (или) незагрязненного лома и отходов черных и цветных металлов;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зеленый цвет – для незагрязненных отходов стекла и изделий из стекла;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коричневый цвет – для отходов пищевой продукции, исключая напитки и табачные изделия, утратившие свои потребительские свойства;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серый цвет – для несортированных ТКО.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12. При установлении</w:t>
      </w:r>
      <w:r>
        <w:rPr>
          <w:rFonts w:ascii="PT Astra Serif" w:hAnsi="PT Astra Serif"/>
          <w:sz w:val="26"/>
          <w:szCs w:val="26"/>
        </w:rPr>
        <w:t xml:space="preserve"> цветов контейнеров и (или) бункеров или иных накопителей для накопления видов и (или) групп отходов, не предусмотренных пунктом 10 настоящего порядка, уполномоченный орган согласовывает использование соответствующего цвета контейнера и (или) бункера или и</w:t>
      </w:r>
      <w:r>
        <w:rPr>
          <w:rFonts w:ascii="PT Astra Serif" w:hAnsi="PT Astra Serif"/>
          <w:sz w:val="26"/>
          <w:szCs w:val="26"/>
        </w:rPr>
        <w:t xml:space="preserve">ных накопителей для накопления такого вида и (или) группы отходов с Министерством природных ресурсов и экологии Российской Федерации (далее – Министерство) в установленном Министерством порядке. 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13. Потребители вправе передавать образующиеся у них отходы,</w:t>
      </w:r>
      <w:r>
        <w:rPr>
          <w:rFonts w:ascii="PT Astra Serif" w:hAnsi="PT Astra Serif"/>
          <w:sz w:val="26"/>
          <w:szCs w:val="26"/>
        </w:rPr>
        <w:t xml:space="preserve"> в том числе вторичные ресурсы, входящие в состав ТКО, в стационарное или мобильное место сбора вторичных ресурсов на возмездной или безвозмездной основе, контактным или бесконтактным способом (посредством контейнеров и (или) бункеров, </w:t>
      </w:r>
      <w:r>
        <w:rPr>
          <w:rFonts w:ascii="PT Astra Serif" w:hAnsi="PT Astra Serif"/>
          <w:sz w:val="26"/>
          <w:szCs w:val="26"/>
        </w:rPr>
        <w:t>фандоматов</w:t>
      </w:r>
      <w:r>
        <w:rPr>
          <w:rFonts w:ascii="PT Astra Serif" w:hAnsi="PT Astra Serif"/>
          <w:sz w:val="26"/>
          <w:szCs w:val="26"/>
        </w:rPr>
        <w:t>, специаль</w:t>
      </w:r>
      <w:r>
        <w:rPr>
          <w:rFonts w:ascii="PT Astra Serif" w:hAnsi="PT Astra Serif"/>
          <w:sz w:val="26"/>
          <w:szCs w:val="26"/>
        </w:rPr>
        <w:t>ных площадок)</w:t>
      </w:r>
      <w:r w:rsidR="00072C3C">
        <w:rPr>
          <w:rFonts w:ascii="PT Astra Serif" w:hAnsi="PT Astra Serif"/>
          <w:sz w:val="26"/>
          <w:szCs w:val="26"/>
        </w:rPr>
        <w:t>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14. Минимальное количество контейнеров на контейнерной площадке и их вместимость определяются исходя из численности жителей, проживающих в многоквартирных и индивидуальных жилых домах для накопления ТКО, и установленных нормативов накопления </w:t>
      </w:r>
      <w:r>
        <w:rPr>
          <w:rFonts w:ascii="PT Astra Serif" w:hAnsi="PT Astra Serif"/>
          <w:sz w:val="26"/>
          <w:szCs w:val="26"/>
        </w:rPr>
        <w:t>ТКО, с учетом санитарно-эпидемиологических требований.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15. Количество и объем контейнеров, необходимых для накопления ТКО, образующихся в процессе деятельности юридических лиц и индивидуальных предпринимателей, определяются исходя из установленных норматив</w:t>
      </w:r>
      <w:r>
        <w:rPr>
          <w:rFonts w:ascii="PT Astra Serif" w:hAnsi="PT Astra Serif"/>
          <w:sz w:val="26"/>
          <w:szCs w:val="26"/>
        </w:rPr>
        <w:t>ов накопления ТКО или в соответствии с условиями договора на оказание услуг по обращению с ТКО.</w:t>
      </w:r>
    </w:p>
    <w:p w:rsidR="005F24B2">
      <w:pPr>
        <w:pStyle w:val="ConsPlusNormal"/>
        <w:spacing w:before="240"/>
        <w:ind w:firstLine="54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16. Места (площадки) накопления ТКО должны соответствовать требованиям законодательства Российской Федерации, а также правилам благоустройства муниципальных обр</w:t>
      </w:r>
      <w:r>
        <w:rPr>
          <w:rFonts w:ascii="PT Astra Serif" w:hAnsi="PT Astra Serif"/>
          <w:sz w:val="26"/>
          <w:szCs w:val="26"/>
        </w:rPr>
        <w:t>азований.</w:t>
      </w:r>
    </w:p>
    <w:p w:rsidR="005F24B2">
      <w:pPr>
        <w:tabs>
          <w:tab w:val="left" w:pos="3807"/>
          <w:tab w:val="center" w:pos="4676"/>
        </w:tabs>
        <w:ind w:firstLine="0"/>
        <w:jc w:val="both"/>
        <w:rPr>
          <w:rFonts w:ascii="PT Astra Serif" w:hAnsi="PT Astra Serif"/>
          <w:szCs w:val="26"/>
        </w:rPr>
      </w:pPr>
    </w:p>
    <w:p w:rsidR="005F24B2">
      <w:pPr>
        <w:rPr>
          <w:rFonts w:ascii="PT Astra Serif" w:hAnsi="PT Astra Serif"/>
          <w:szCs w:val="26"/>
        </w:rPr>
      </w:pPr>
    </w:p>
    <w:p w:rsidR="005F24B2">
      <w:pPr>
        <w:rPr>
          <w:rFonts w:ascii="PT Astra Serif" w:hAnsi="PT Astra Serif"/>
          <w:szCs w:val="26"/>
        </w:rPr>
      </w:pPr>
    </w:p>
    <w:p w:rsidR="005F24B2">
      <w:pPr>
        <w:rPr>
          <w:rFonts w:ascii="PT Astra Serif" w:hAnsi="PT Astra Serif"/>
          <w:szCs w:val="26"/>
        </w:rPr>
      </w:pPr>
    </w:p>
    <w:p w:rsidR="005F24B2">
      <w:pPr>
        <w:rPr>
          <w:rFonts w:ascii="PT Astra Serif" w:hAnsi="PT Astra Serif"/>
          <w:szCs w:val="26"/>
        </w:rPr>
      </w:pPr>
    </w:p>
    <w:sectPr>
      <w:headerReference w:type="first" r:id="rId7"/>
      <w:footerReference w:type="first" r:id="rId8"/>
      <w:pgSz w:w="11905" w:h="16837"/>
      <w:pgMar w:top="964" w:right="851" w:bottom="964" w:left="1701" w:header="426" w:footer="6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4B2">
    <w:pPr>
      <w:pStyle w:val="a12"/>
      <w:framePr w:w="11911" w:h="101" w:hRule="atLeast" w:wrap="none" w:vAnchor="text" w:hAnchor="page" w:x="1" w:y="-1132"/>
      <w:shd w:val="clear" w:color="auto" w:fill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54342679"/>
      <w:docPartObj>
        <w:docPartGallery w:val="Page Numbers (Top of Page)"/>
        <w:docPartUnique/>
      </w:docPartObj>
    </w:sdtPr>
    <w:sdtContent>
      <w:p w:rsidR="005F24B2">
        <w:pPr>
          <w:pStyle w:val="Header"/>
          <w:ind w:firstLine="0"/>
          <w:rPr>
            <w:b w:val="0"/>
            <w:sz w:val="26"/>
            <w:szCs w:val="26"/>
          </w:rPr>
        </w:pPr>
        <w:r>
          <w:rPr>
            <w:b w:val="0"/>
            <w:sz w:val="26"/>
            <w:szCs w:val="26"/>
          </w:rPr>
          <w:fldChar w:fldCharType="begin"/>
        </w:r>
        <w:r>
          <w:rPr>
            <w:b w:val="0"/>
            <w:sz w:val="26"/>
            <w:szCs w:val="26"/>
          </w:rPr>
          <w:instrText>PAGE   \* MERGEFORMAT</w:instrText>
        </w:r>
        <w:r>
          <w:rPr>
            <w:b w:val="0"/>
            <w:sz w:val="26"/>
            <w:szCs w:val="26"/>
          </w:rPr>
          <w:fldChar w:fldCharType="separate"/>
        </w:r>
        <w:r w:rsidR="001720BA">
          <w:rPr>
            <w:b w:val="0"/>
            <w:noProof/>
            <w:sz w:val="26"/>
            <w:szCs w:val="26"/>
          </w:rPr>
          <w:t>4</w:t>
        </w:r>
        <w:r>
          <w:rPr>
            <w:b w:val="0"/>
            <w:sz w:val="26"/>
            <w:szCs w:val="26"/>
          </w:rPr>
          <w:fldChar w:fldCharType="end"/>
        </w:r>
      </w:p>
    </w:sdtContent>
  </w:sdt>
  <w:p w:rsidR="005F24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4B2">
    <w:pPr>
      <w:spacing w:after="120"/>
      <w:ind w:firstLine="0"/>
      <w:jc w:val="center"/>
      <w:rPr>
        <w:b/>
        <w:sz w:val="28"/>
        <w:lang w:val="en-US"/>
      </w:rPr>
    </w:pPr>
    <w:r>
      <w:rPr>
        <w:noProof/>
      </w:rPr>
      <w:drawing>
        <wp:inline distT="0" distB="0" distL="0" distR="0">
          <wp:extent cx="723900" cy="655320"/>
          <wp:effectExtent l="19050" t="0" r="0" b="0"/>
          <wp:docPr id="1" name="Рисунок 2" descr="GerbTOug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erbTOugl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F24B2">
    <w:pPr>
      <w:pStyle w:val="Header"/>
      <w:spacing w:before="0" w:after="0" w:line="360" w:lineRule="exact"/>
      <w:ind w:firstLine="0"/>
      <w:rPr>
        <w:sz w:val="30"/>
      </w:rPr>
    </w:pPr>
    <w:r>
      <w:rPr>
        <w:sz w:val="30"/>
      </w:rPr>
      <w:t>АДМИНИСТРАЦИЯ ТОМСКОЙ ОБЛАСТИ</w:t>
    </w:r>
  </w:p>
  <w:p w:rsidR="005F24B2">
    <w:pPr>
      <w:pStyle w:val="Header"/>
      <w:spacing w:before="240" w:after="0"/>
      <w:ind w:firstLine="0"/>
      <w:rPr>
        <w:spacing w:val="20"/>
        <w:szCs w:val="28"/>
      </w:rPr>
    </w:pPr>
    <w:r>
      <w:rPr>
        <w:spacing w:val="20"/>
        <w:szCs w:val="28"/>
      </w:rPr>
      <w:t>ПОСТАНОВЛЕНИЕ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4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C34A3D"/>
    <w:multiLevelType w:val="hybridMultilevel"/>
    <w:tmpl w:val="79205A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181F"/>
    <w:multiLevelType w:val="hybridMultilevel"/>
    <w:tmpl w:val="2744E964"/>
    <w:lvl w:ilvl="0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abstractNum w:abstractNumId="2">
    <w:nsid w:val="21D75E33"/>
    <w:multiLevelType w:val="hybridMultilevel"/>
    <w:tmpl w:val="111EF22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7604299"/>
    <w:multiLevelType w:val="hybridMultilevel"/>
    <w:tmpl w:val="58448F18"/>
    <w:lvl w:ilvl="0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BB6A30"/>
    <w:multiLevelType w:val="multilevel"/>
    <w:tmpl w:val="10C84142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abstractNum w:abstractNumId="5">
    <w:nsid w:val="422962C1"/>
    <w:multiLevelType w:val="hybridMultilevel"/>
    <w:tmpl w:val="8234AA72"/>
    <w:lvl w:ilvl="0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35E7DDB"/>
    <w:multiLevelType w:val="hybridMultilevel"/>
    <w:tmpl w:val="386287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D8F7453"/>
    <w:multiLevelType w:val="hybridMultilevel"/>
    <w:tmpl w:val="D27C82E8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84605D5"/>
    <w:multiLevelType w:val="hybridMultilevel"/>
    <w:tmpl w:val="FE6406DA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5258DE"/>
    <w:multiLevelType w:val="hybridMultilevel"/>
    <w:tmpl w:val="0562F8B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18175D"/>
    <w:multiLevelType w:val="hybridMultilevel"/>
    <w:tmpl w:val="014E4A04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7ED45D91"/>
    <w:multiLevelType w:val="hybridMultilevel"/>
    <w:tmpl w:val="85F0B168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11"/>
  </w:num>
  <w:num w:numId="8">
    <w:abstractNumId w:val="7"/>
  </w:num>
  <w:num w:numId="9">
    <w:abstractNumId w:val="8"/>
  </w:num>
  <w:num w:numId="10">
    <w:abstractNumId w:val="4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4B2"/>
    <w:rsid w:val="00072C3C"/>
    <w:rsid w:val="001720BA"/>
    <w:rsid w:val="002C2A59"/>
    <w:rsid w:val="005F24B2"/>
    <w:rsid w:val="00AB5DC3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5092E8"/>
  <w15:docId w15:val="{8E517357-CC7C-4288-8A87-DB8263C06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09"/>
    </w:pPr>
    <w:rPr>
      <w:sz w:val="26"/>
    </w:rPr>
  </w:style>
  <w:style w:type="paragraph" w:styleId="Heading1">
    <w:name w:val="heading 1"/>
    <w:basedOn w:val="Normal"/>
    <w:next w:val="Normal"/>
    <w:link w:val="10"/>
    <w:qFormat/>
    <w:pPr>
      <w:keepNext/>
      <w:shd w:val="clear" w:color="auto" w:fill="FFFFFF"/>
      <w:spacing w:before="288" w:line="226" w:lineRule="exact"/>
      <w:ind w:left="427" w:firstLine="0"/>
      <w:jc w:val="both"/>
      <w:outlineLvl w:val="0"/>
    </w:pPr>
    <w:rPr>
      <w:b/>
      <w:color w:val="000000"/>
      <w:spacing w:val="-2"/>
      <w:sz w:val="25"/>
    </w:rPr>
  </w:style>
  <w:style w:type="paragraph" w:styleId="Heading2">
    <w:name w:val="heading 2"/>
    <w:basedOn w:val="Normal"/>
    <w:next w:val="Normal"/>
    <w:link w:val="22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DefaultParagraphFont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DefaultParagraphFont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DefaultParagraphFont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DefaultParagraphFont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DefaultParagraphFont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DefaultParagraphFont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DefaultParagraphFont"/>
    <w:uiPriority w:val="99"/>
  </w:style>
  <w:style w:type="character" w:customStyle="1" w:styleId="CaptionChar">
    <w:name w:val="Caption Char"/>
    <w:basedOn w:val="DefaultParagraphFont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DefaultParagraphFont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DefaultParagraphFont"/>
    <w:uiPriority w:val="9"/>
    <w:rPr>
      <w:rFonts w:ascii="Liberation Sans" w:eastAsia="Liberation Sans" w:hAnsi="Liberation Sans" w:cs="Liberation Sans"/>
      <w:sz w:val="34"/>
    </w:rPr>
  </w:style>
  <w:style w:type="character" w:customStyle="1" w:styleId="3">
    <w:name w:val="Заголовок 3 Знак"/>
    <w:basedOn w:val="DefaultParagraphFont"/>
    <w:link w:val="Heading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">
    <w:name w:val="Заголовок 4 Знак"/>
    <w:basedOn w:val="DefaultParagraphFont"/>
    <w:link w:val="Heading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">
    <w:name w:val="Заголовок 5 Знак"/>
    <w:basedOn w:val="DefaultParagraphFont"/>
    <w:link w:val="Heading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">
    <w:name w:val="Заголовок 6 Знак"/>
    <w:basedOn w:val="DefaultParagraphFont"/>
    <w:link w:val="Heading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">
    <w:name w:val="Заголовок 7 Знак"/>
    <w:basedOn w:val="DefaultParagraphFont"/>
    <w:link w:val="Heading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">
    <w:name w:val="Заголовок 8 Знак"/>
    <w:basedOn w:val="DefaultParagraphFont"/>
    <w:link w:val="Heading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">
    <w:name w:val="Заголовок 9 Знак"/>
    <w:basedOn w:val="DefaultParagraphFont"/>
    <w:link w:val="Heading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a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">
    <w:name w:val="Заголовок Знак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a0"/>
    <w:uiPriority w:val="11"/>
    <w:qFormat/>
    <w:pPr>
      <w:spacing w:before="200" w:after="200"/>
    </w:pPr>
    <w:rPr>
      <w:sz w:val="24"/>
      <w:szCs w:val="24"/>
    </w:rPr>
  </w:style>
  <w:style w:type="character" w:customStyle="1" w:styleId="a0">
    <w:name w:val="Подзаголовок Знак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2"/>
    <w:uiPriority w:val="29"/>
    <w:qFormat/>
    <w:pPr>
      <w:ind w:left="720" w:right="720"/>
    </w:pPr>
    <w:rPr>
      <w:i/>
    </w:rPr>
  </w:style>
  <w:style w:type="character" w:customStyle="1" w:styleId="2">
    <w:name w:val="Цитата 2 Знак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a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1">
    <w:name w:val="Выделенная цитата Знак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a2">
    <w:name w:val="Нижний колонтитул Знак"/>
    <w:basedOn w:val="DefaultParagraphFont"/>
    <w:link w:val="Footer"/>
    <w:uiPriority w:val="99"/>
  </w:style>
  <w:style w:type="character" w:customStyle="1" w:styleId="a3">
    <w:name w:val="Название объекта Знак"/>
    <w:basedOn w:val="DefaultParagraphFont"/>
    <w:link w:val="Caption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fill="F2F2F2" w:themeColor="text1" w:themeTint="0D" w:themeFill="text1" w:themeFillTint="0D"/>
      </w:tcPr>
    </w:tblStylePr>
    <w:tblStylePr w:type="band1Horz">
      <w:tblPr/>
      <w:tcPr>
        <w:shd w:val="clear" w:color="F2F2F2" w:fill="F2F2F2" w:themeColor="text1" w:themeTint="0D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2-Accent1">
    <w:name w:val="Grid Table 2 -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fill="DAE5F1" w:themeColor="accent1" w:themeTint="3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fill="DAE5F1" w:themeColor="accent1" w:themeTint="34" w:themeFill="accent1" w:themeFillTint="34"/>
      </w:tcPr>
    </w:tblStylePr>
  </w:style>
  <w:style w:type="table" w:customStyle="1" w:styleId="GridTable2-Accent2">
    <w:name w:val="Grid Table 2 -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</w:style>
  <w:style w:type="table" w:customStyle="1" w:styleId="GridTable2-Accent3">
    <w:name w:val="Grid Table 2 -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</w:style>
  <w:style w:type="table" w:customStyle="1" w:styleId="GridTable2-Accent4">
    <w:name w:val="Grid Table 2 -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</w:style>
  <w:style w:type="table" w:customStyle="1" w:styleId="GridTable2-Accent5">
    <w:name w:val="Grid Table 2 -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</w:style>
  <w:style w:type="table" w:customStyle="1" w:styleId="GridTable2-Accent6">
    <w:name w:val="Grid Table 2 -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3-Accent1">
    <w:name w:val="Grid Table 3 -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fill="DAE5F1" w:themeColor="accent1" w:themeTint="3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fill="DAE5F1" w:themeColor="accent1" w:themeTint="34" w:themeFill="accent1" w:themeFillTint="34"/>
      </w:tcPr>
    </w:tblStylePr>
  </w:style>
  <w:style w:type="table" w:customStyle="1" w:styleId="GridTable3-Accent2">
    <w:name w:val="Grid Table 3 -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</w:style>
  <w:style w:type="table" w:customStyle="1" w:styleId="GridTable3-Accent3">
    <w:name w:val="Grid Table 3 -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</w:style>
  <w:style w:type="table" w:customStyle="1" w:styleId="GridTable3-Accent4">
    <w:name w:val="Grid Table 3 -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</w:style>
  <w:style w:type="table" w:customStyle="1" w:styleId="GridTable3-Accent5">
    <w:name w:val="Grid Table 3 -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</w:style>
  <w:style w:type="table" w:customStyle="1" w:styleId="GridTable3-Accent6">
    <w:name w:val="Grid Table 3 -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Color="text1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4-Accent1">
    <w:name w:val="Grid Table 4 -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Color="accent1" w:themeTint="EA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fill="DCE6F2" w:themeColor="accent1" w:themeTint="3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fill="DCE6F2" w:themeColor="accent1" w:themeTint="32" w:themeFill="accent1" w:themeFillTint="32"/>
      </w:tcPr>
    </w:tblStylePr>
  </w:style>
  <w:style w:type="table" w:customStyle="1" w:styleId="GridTable4-Accent2">
    <w:name w:val="Grid Table 4 -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Color="accent2" w:themeTint="97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</w:style>
  <w:style w:type="table" w:customStyle="1" w:styleId="GridTable4-Accent3">
    <w:name w:val="Grid Table 4 -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Color="accent3" w:themeTint="FE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</w:style>
  <w:style w:type="table" w:customStyle="1" w:styleId="GridTable4-Accent4">
    <w:name w:val="Grid Table 4 -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Color="accent4" w:themeTint="9A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</w:style>
  <w:style w:type="table" w:customStyle="1" w:styleId="GridTable4-Accent5">
    <w:name w:val="Grid Table 4 -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Color="accent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</w:style>
  <w:style w:type="table" w:customStyle="1" w:styleId="GridTable4-Accent6">
    <w:name w:val="Grid Table 4 -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Color="accent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Color="text1" w:themeTint="40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Color="text1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band1Vert">
      <w:tblPr/>
      <w:tcPr>
        <w:shd w:val="clear" w:color="8A8A8A" w:fill="8A8A8A" w:themeColor="text1" w:themeTint="75" w:themeFill="text1" w:themeFillTint="75"/>
      </w:tcPr>
    </w:tblStylePr>
    <w:tblStylePr w:type="band1Horz">
      <w:tblPr/>
      <w:tcPr>
        <w:shd w:val="clear" w:color="8A8A8A" w:fill="8A8A8A" w:themeColor="text1" w:themeTint="75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Color="accent1" w:themeTint="3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 w:themeColor="accent1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Color="accent1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fill="4F81BD" w:themeColor="accent1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fill="4F81BD" w:themeColor="accent1" w:themeFill="accent1"/>
      </w:tcPr>
    </w:tblStylePr>
    <w:tblStylePr w:type="band1Vert">
      <w:tblPr/>
      <w:tcPr>
        <w:shd w:val="clear" w:color="AEC4E0" w:fill="AEC4E0" w:themeColor="accent1" w:themeTint="75" w:themeFill="accent1" w:themeFillTint="75"/>
      </w:tcPr>
    </w:tblStylePr>
    <w:tblStylePr w:type="band1Horz">
      <w:tblPr/>
      <w:tcPr>
        <w:shd w:val="clear" w:color="AEC4E0" w:fill="AEC4E0" w:themeColor="accent1" w:themeTint="75" w:themeFill="accent1" w:themeFillTint="75"/>
      </w:tcPr>
    </w:tblStylePr>
  </w:style>
  <w:style w:type="table" w:customStyle="1" w:styleId="GridTable5Dark-Accent2">
    <w:name w:val="Grid Table 5 Dark -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Color="accent2" w:themeTint="32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fill="C0504D" w:themeColor="accent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Color="accent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fill="C0504D" w:themeColor="accent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fill="C0504D" w:themeColor="accent2" w:themeFill="accent2"/>
      </w:tcPr>
    </w:tblStylePr>
    <w:tblStylePr w:type="band1Vert">
      <w:tblPr/>
      <w:tcPr>
        <w:shd w:val="clear" w:color="E2AEAD" w:fill="E2AEAD" w:themeColor="accent2" w:themeTint="75" w:themeFill="accent2" w:themeFillTint="75"/>
      </w:tcPr>
    </w:tblStylePr>
    <w:tblStylePr w:type="band1Horz">
      <w:tblPr/>
      <w:tcPr>
        <w:shd w:val="clear" w:color="E2AEAD" w:fill="E2AEAD" w:themeColor="accent2" w:themeTint="75" w:themeFill="accent2" w:themeFillTint="75"/>
      </w:tcPr>
    </w:tblStylePr>
  </w:style>
  <w:style w:type="table" w:customStyle="1" w:styleId="GridTable5Dark-Accent3">
    <w:name w:val="Grid Table 5 Dark -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Color="accent3" w:themeTint="34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fill="9BBB59" w:themeColor="accent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Color="accent3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fill="9BBB59" w:themeColor="accent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fill="9BBB59" w:themeColor="accent3" w:themeFill="accent3"/>
      </w:tcPr>
    </w:tblStylePr>
    <w:tblStylePr w:type="band1Vert">
      <w:tblPr/>
      <w:tcPr>
        <w:shd w:val="clear" w:color="D0DFB2" w:fill="D0DFB2" w:themeColor="accent3" w:themeTint="75" w:themeFill="accent3" w:themeFillTint="75"/>
      </w:tcPr>
    </w:tblStylePr>
    <w:tblStylePr w:type="band1Horz">
      <w:tblPr/>
      <w:tcPr>
        <w:shd w:val="clear" w:color="D0DFB2" w:fill="D0DFB2" w:themeColor="accent3" w:themeTint="7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Color="accent4" w:themeTint="34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fill="8064A2" w:themeColor="accent4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Color="accent4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fill="8064A2" w:themeColor="accent4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fill="8064A2" w:themeColor="accent4" w:themeFill="accent4"/>
      </w:tcPr>
    </w:tblStylePr>
    <w:tblStylePr w:type="band1Vert">
      <w:tblPr/>
      <w:tcPr>
        <w:shd w:val="clear" w:color="C4B7D4" w:fill="C4B7D4" w:themeColor="accent4" w:themeTint="75" w:themeFill="accent4" w:themeFillTint="75"/>
      </w:tcPr>
    </w:tblStylePr>
    <w:tblStylePr w:type="band1Horz">
      <w:tblPr/>
      <w:tcPr>
        <w:shd w:val="clear" w:color="C4B7D4" w:fill="C4B7D4" w:themeColor="accent4" w:themeTint="75" w:themeFill="accent4" w:themeFillTint="75"/>
      </w:tcPr>
    </w:tblStylePr>
  </w:style>
  <w:style w:type="table" w:customStyle="1" w:styleId="GridTable5Dark-Accent5">
    <w:name w:val="Grid Table 5 Dark -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Color="accent5" w:themeTint="34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fill="4BACC6" w:themeColor="accent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Color="accent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fill="4BACC6" w:themeColor="accent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fill="4BACC6" w:themeColor="accent5" w:themeFill="accent5"/>
      </w:tcPr>
    </w:tblStylePr>
    <w:tblStylePr w:type="band1Vert">
      <w:tblPr/>
      <w:tcPr>
        <w:shd w:val="clear" w:color="ACD8E4" w:fill="ACD8E4" w:themeColor="accent5" w:themeTint="75" w:themeFill="accent5" w:themeFillTint="75"/>
      </w:tcPr>
    </w:tblStylePr>
    <w:tblStylePr w:type="band1Horz">
      <w:tblPr/>
      <w:tcPr>
        <w:shd w:val="clear" w:color="ACD8E4" w:fill="ACD8E4" w:themeColor="accent5" w:themeTint="75" w:themeFill="accent5" w:themeFillTint="75"/>
      </w:tcPr>
    </w:tblStylePr>
  </w:style>
  <w:style w:type="table" w:customStyle="1" w:styleId="GridTable5Dark-Accent6">
    <w:name w:val="Grid Table 5 Dark -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Color="accent6" w:themeTint="34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fill="F79646" w:themeColor="accent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Color="accent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fill="F79646" w:themeColor="accent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fill="F79646" w:themeColor="accent6" w:themeFill="accent6"/>
      </w:tcPr>
    </w:tblStylePr>
    <w:tblStylePr w:type="band1Vert">
      <w:tblPr/>
      <w:tcPr>
        <w:shd w:val="clear" w:color="FBCEAA" w:fill="FBCEAA" w:themeColor="accent6" w:themeTint="75" w:themeFill="accent6" w:themeFillTint="75"/>
      </w:tcPr>
    </w:tblStylePr>
    <w:tblStylePr w:type="band1Horz">
      <w:tblPr/>
      <w:tcPr>
        <w:shd w:val="clear" w:color="FBCEAA" w:fill="FBCEAA" w:themeColor="accent6" w:themeTint="75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Shade="95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Shade="95" w:themeTint="80"/>
      </w:rPr>
    </w:tblStylePr>
    <w:tblStylePr w:type="firstCol">
      <w:rPr>
        <w:b/>
        <w:color w:val="7F7F7F" w:themeColor="text1" w:themeShade="95" w:themeTint="80"/>
      </w:rPr>
    </w:tblStylePr>
    <w:tblStylePr w:type="lastCol">
      <w:rPr>
        <w:b/>
        <w:color w:val="7F7F7F" w:themeColor="text1" w:themeShade="95" w:themeTint="80"/>
      </w:rPr>
    </w:tblStylePr>
    <w:tblStylePr w:type="band1Vert"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Liberation Sans" w:hAnsi="Liberation Sans"/>
        <w:color w:val="7F7F7F" w:themeColor="text1" w:themeShade="95" w:themeTint="8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2Horz">
      <w:rPr>
        <w:rFonts w:ascii="Liberation Sans" w:hAnsi="Liberation Sans"/>
        <w:color w:val="7F7F7F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Shade="95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blPr/>
      <w:tcPr>
        <w:shd w:val="clear" w:color="DAE5F1" w:fill="DAE5F1" w:themeColor="accent1" w:themeTint="34" w:themeFill="accent1" w:themeFillTint="34"/>
      </w:tcPr>
    </w:tblStylePr>
    <w:tblStylePr w:type="band1Horz">
      <w:rPr>
        <w:rFonts w:ascii="Liberation Sans" w:hAnsi="Liberation Sans"/>
        <w:color w:val="A6BFDD" w:themeColor="accent1" w:themeShade="95" w:themeTint="80"/>
        <w:sz w:val="22"/>
      </w:rPr>
      <w:tblPr/>
      <w:tcPr>
        <w:shd w:val="clear" w:color="DAE5F1" w:fill="DAE5F1" w:themeColor="accent1" w:themeTint="34" w:themeFill="accent1" w:themeFillTint="34"/>
      </w:tcPr>
    </w:tblStylePr>
    <w:tblStylePr w:type="band2Horz">
      <w:rPr>
        <w:rFonts w:ascii="Liberation Sans" w:hAnsi="Liberation Sans"/>
        <w:color w:val="A6BFDD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Shade="95" w:themeTint="97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Shade="95" w:themeTint="97"/>
      </w:rPr>
    </w:tblStylePr>
    <w:tblStylePr w:type="firstCol">
      <w:rPr>
        <w:b/>
        <w:color w:val="D99695" w:themeColor="accent2" w:themeShade="95" w:themeTint="97"/>
      </w:rPr>
    </w:tblStylePr>
    <w:tblStylePr w:type="lastCol">
      <w:rPr>
        <w:b/>
        <w:color w:val="D99695" w:themeColor="accent2" w:themeShade="95" w:themeTint="97"/>
      </w:rPr>
    </w:tblStylePr>
    <w:tblStylePr w:type="band1Vert"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Liberation Sans" w:hAnsi="Liberation Sans"/>
        <w:color w:val="D99695" w:themeColor="accent2" w:themeShade="95" w:themeTint="97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2Horz">
      <w:rPr>
        <w:rFonts w:ascii="Liberation Sans" w:hAnsi="Liberation Sans"/>
        <w:color w:val="D99695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Shade="95" w:themeTint="FE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Shade="95" w:themeTint="FE"/>
      </w:rPr>
    </w:tblStylePr>
    <w:tblStylePr w:type="firstCol">
      <w:rPr>
        <w:b/>
        <w:color w:val="9ABB59" w:themeColor="accent3" w:themeShade="95" w:themeTint="FE"/>
      </w:rPr>
    </w:tblStylePr>
    <w:tblStylePr w:type="lastCol">
      <w:rPr>
        <w:b/>
        <w:color w:val="9ABB59" w:themeColor="accent3" w:themeShade="95" w:themeTint="FE"/>
      </w:rPr>
    </w:tblStylePr>
    <w:tblStylePr w:type="band1Vert"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Liberation Sans" w:hAnsi="Liberation Sans"/>
        <w:color w:val="9ABB59" w:themeColor="accent3" w:themeShade="95" w:themeTint="FE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2Horz">
      <w:rPr>
        <w:rFonts w:ascii="Liberation Sans" w:hAnsi="Liberation Sans"/>
        <w:color w:val="9ABB59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Shade="95" w:themeTint="9A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Liberation Sans" w:hAnsi="Liberation Sans"/>
        <w:color w:val="B2A1C6" w:themeColor="accent4" w:themeShade="95" w:themeTint="9A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2Horz">
      <w:rPr>
        <w:rFonts w:ascii="Liberation Sans" w:hAnsi="Liberation Sans"/>
        <w:color w:val="B2A1C6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b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Shade="95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Liberation Sans" w:hAnsi="Liberation Sans"/>
        <w:color w:val="7F7F7F" w:themeColor="text1" w:themeShade="95" w:themeTint="8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2Horz">
      <w:rPr>
        <w:rFonts w:ascii="Liberation Sans" w:hAnsi="Liberation Sans"/>
        <w:color w:val="7F7F7F" w:themeColor="text1" w:themeShade="95" w:themeTint="80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Shade="95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b/>
        <w:color w:val="A6BFDD" w:themeColor="accent1" w:themeShade="95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Shade="95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DAE5F1" w:themeColor="accent1" w:themeTint="34" w:themeFill="accent1" w:themeFillTint="34"/>
      </w:tcPr>
    </w:tblStylePr>
    <w:tblStylePr w:type="band1Horz">
      <w:rPr>
        <w:rFonts w:ascii="Liberation Sans" w:hAnsi="Liberation Sans"/>
        <w:color w:val="A6BFDD" w:themeColor="accent1" w:themeShade="95" w:themeTint="80"/>
        <w:sz w:val="22"/>
      </w:rPr>
      <w:tblPr/>
      <w:tcPr>
        <w:shd w:val="clear" w:color="DAE5F1" w:fill="DAE5F1" w:themeColor="accent1" w:themeTint="34" w:themeFill="accent1" w:themeFillTint="34"/>
      </w:tcPr>
    </w:tblStylePr>
    <w:tblStylePr w:type="band2Horz">
      <w:rPr>
        <w:rFonts w:ascii="Liberation Sans" w:hAnsi="Liberation Sans"/>
        <w:color w:val="A6BFDD" w:themeColor="accent1" w:themeShade="95" w:themeTint="80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b/>
        <w:color w:val="D99695" w:themeColor="accent2" w:themeShade="95" w:themeTint="97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Shade="95" w:themeTint="97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Liberation Sans" w:hAnsi="Liberation Sans"/>
        <w:color w:val="D99695" w:themeColor="accent2" w:themeShade="95" w:themeTint="97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2Horz">
      <w:rPr>
        <w:rFonts w:ascii="Liberation Sans" w:hAnsi="Liberation Sans"/>
        <w:color w:val="D99695" w:themeColor="accent2" w:themeShade="95" w:themeTint="97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Shade="95" w:themeTint="FE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b/>
        <w:color w:val="9ABB59" w:themeColor="accent3" w:themeShade="95" w:themeTint="FE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Shade="95" w:themeTint="FE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Shade="95" w:themeTint="FE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Liberation Sans" w:hAnsi="Liberation Sans"/>
        <w:color w:val="9ABB59" w:themeColor="accent3" w:themeShade="95" w:themeTint="FE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2Horz">
      <w:rPr>
        <w:rFonts w:ascii="Liberation Sans" w:hAnsi="Liberation Sans"/>
        <w:color w:val="9ABB59" w:themeColor="accent3" w:themeShade="95" w:themeTint="FE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b/>
        <w:color w:val="B2A1C6" w:themeColor="accent4" w:themeShade="95" w:themeTint="9A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Shade="95" w:themeTint="9A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Liberation Sans" w:hAnsi="Liberation Sans"/>
        <w:color w:val="B2A1C6" w:themeColor="accent4" w:themeShade="95" w:themeTint="9A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2Horz">
      <w:rPr>
        <w:rFonts w:ascii="Liberation Sans" w:hAnsi="Liberation Sans"/>
        <w:color w:val="B2A1C6" w:themeColor="accent4" w:themeShade="95" w:themeTint="9A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1Light-Accent1">
    <w:name w:val="List Table 1 Light -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Color="accent1" w:themeTint="40" w:themeFill="accent1" w:themeFillTint="40"/>
      </w:tcPr>
    </w:tblStylePr>
    <w:tblStylePr w:type="band1Horz">
      <w:tblPr/>
      <w:tcPr>
        <w:shd w:val="clear" w:color="D2DFEE" w:fill="D2DFEE" w:themeColor="accent1" w:themeTint="40" w:themeFill="accent1" w:themeFillTint="40"/>
      </w:tcPr>
    </w:tblStylePr>
  </w:style>
  <w:style w:type="table" w:customStyle="1" w:styleId="ListTable1Light-Accent2">
    <w:name w:val="List Table 1 Light -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Color="accent2" w:themeTint="40" w:themeFill="accent2" w:themeFillTint="40"/>
      </w:tcPr>
    </w:tblStylePr>
    <w:tblStylePr w:type="band1Horz">
      <w:tblPr/>
      <w:tcPr>
        <w:shd w:val="clear" w:color="EFD2D2" w:fill="EFD2D2" w:themeColor="accent2" w:themeTint="40" w:themeFill="accent2" w:themeFillTint="40"/>
      </w:tcPr>
    </w:tblStylePr>
  </w:style>
  <w:style w:type="table" w:customStyle="1" w:styleId="ListTable1Light-Accent3">
    <w:name w:val="List Table 1 Light -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Color="accent3" w:themeTint="40" w:themeFill="accent3" w:themeFillTint="40"/>
      </w:tcPr>
    </w:tblStylePr>
    <w:tblStylePr w:type="band1Horz">
      <w:tblPr/>
      <w:tcPr>
        <w:shd w:val="clear" w:color="E5EED5" w:fill="E5EED5" w:themeColor="accent3" w:themeTint="40" w:themeFill="accent3" w:themeFillTint="40"/>
      </w:tcPr>
    </w:tblStylePr>
  </w:style>
  <w:style w:type="table" w:customStyle="1" w:styleId="ListTable1Light-Accent4">
    <w:name w:val="List Table 1 Light -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Color="accent4" w:themeTint="40" w:themeFill="accent4" w:themeFillTint="40"/>
      </w:tcPr>
    </w:tblStylePr>
    <w:tblStylePr w:type="band1Horz">
      <w:tblPr/>
      <w:tcPr>
        <w:shd w:val="clear" w:color="DFD8E7" w:fill="DFD8E7" w:themeColor="accent4" w:themeTint="40" w:themeFill="accent4" w:themeFillTint="40"/>
      </w:tcPr>
    </w:tblStylePr>
  </w:style>
  <w:style w:type="table" w:customStyle="1" w:styleId="ListTable1Light-Accent5">
    <w:name w:val="List Table 1 Light -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Color="accent5" w:themeTint="40" w:themeFill="accent5" w:themeFillTint="40"/>
      </w:tcPr>
    </w:tblStylePr>
    <w:tblStylePr w:type="band1Horz">
      <w:tblPr/>
      <w:tcPr>
        <w:shd w:val="clear" w:color="D1EAF0" w:fill="D1EAF0" w:themeColor="accent5" w:themeTint="40" w:themeFill="accent5" w:themeFillTint="40"/>
      </w:tcPr>
    </w:tblStylePr>
  </w:style>
  <w:style w:type="table" w:customStyle="1" w:styleId="ListTable1Light-Accent6">
    <w:name w:val="List Table 1 Light -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Color="accent6" w:themeTint="40" w:themeFill="accent6" w:themeFillTint="40"/>
      </w:tcPr>
    </w:tblStylePr>
    <w:tblStylePr w:type="band1Horz">
      <w:tblPr/>
      <w:tcPr>
        <w:shd w:val="clear" w:color="FDE4D0" w:fill="FDE4D0" w:themeColor="accent6" w:themeTint="4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2-Accent1">
    <w:name w:val="List Table 2 -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fill="D2DFEE" w:themeColor="accent1" w:themeTint="4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fill="D2DFEE" w:themeColor="accent1" w:themeTint="40" w:themeFill="accent1" w:themeFillTint="40"/>
      </w:tcPr>
    </w:tblStylePr>
  </w:style>
  <w:style w:type="table" w:customStyle="1" w:styleId="ListTable2-Accent2">
    <w:name w:val="List Table 2 -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fill="EFD2D2" w:themeColor="accent2" w:themeTint="40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fill="EFD2D2" w:themeColor="accent2" w:themeTint="40" w:themeFill="accent2" w:themeFillTint="40"/>
      </w:tcPr>
    </w:tblStylePr>
  </w:style>
  <w:style w:type="table" w:customStyle="1" w:styleId="ListTable2-Accent3">
    <w:name w:val="List Table 2 -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fill="E5EED5" w:themeColor="accent3" w:themeTint="40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fill="E5EED5" w:themeColor="accent3" w:themeTint="40" w:themeFill="accent3" w:themeFillTint="40"/>
      </w:tcPr>
    </w:tblStylePr>
  </w:style>
  <w:style w:type="table" w:customStyle="1" w:styleId="ListTable2-Accent4">
    <w:name w:val="List Table 2 -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fill="DFD8E7" w:themeColor="accent4" w:themeTint="40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fill="DFD8E7" w:themeColor="accent4" w:themeTint="40" w:themeFill="accent4" w:themeFillTint="40"/>
      </w:tcPr>
    </w:tblStylePr>
  </w:style>
  <w:style w:type="table" w:customStyle="1" w:styleId="ListTable2-Accent5">
    <w:name w:val="List Table 2 -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fill="D1EAF0" w:themeColor="accent5" w:themeTint="4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fill="D1EAF0" w:themeColor="accent5" w:themeTint="40" w:themeFill="accent5" w:themeFillTint="40"/>
      </w:tcPr>
    </w:tblStylePr>
  </w:style>
  <w:style w:type="table" w:customStyle="1" w:styleId="ListTable2-Accent6">
    <w:name w:val="List Table 2 -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fill="FDE4D0" w:themeColor="accent6" w:themeTint="4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fill="FDE4D0" w:themeColor="accent6" w:themeTint="4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 w:themeColor="accent1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fill="C3D69B" w:themeColor="accent3" w:themeTint="98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fill="92CCDC" w:themeColor="accent5" w:themeTint="9A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fill="FAC090" w:themeColor="accent6" w:themeTint="98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4-Accent1">
    <w:name w:val="List Table 4 -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fill="4F81BD" w:themeColor="accent1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fill="D2DFEE" w:themeColor="accent1" w:themeTint="4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fill="D2DFEE" w:themeColor="accent1" w:themeTint="40" w:themeFill="accent1" w:themeFillTint="40"/>
      </w:tcPr>
    </w:tblStylePr>
  </w:style>
  <w:style w:type="table" w:customStyle="1" w:styleId="ListTable4-Accent2">
    <w:name w:val="List Table 4 -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fill="C0504D" w:themeColor="accent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fill="EFD2D2" w:themeColor="accent2" w:themeTint="40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fill="EFD2D2" w:themeColor="accent2" w:themeTint="40" w:themeFill="accent2" w:themeFillTint="40"/>
      </w:tcPr>
    </w:tblStylePr>
  </w:style>
  <w:style w:type="table" w:customStyle="1" w:styleId="ListTable4-Accent3">
    <w:name w:val="List Table 4 -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fill="9BBB59" w:themeColor="accent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fill="E5EED5" w:themeColor="accent3" w:themeTint="40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fill="E5EED5" w:themeColor="accent3" w:themeTint="40" w:themeFill="accent3" w:themeFillTint="40"/>
      </w:tcPr>
    </w:tblStylePr>
  </w:style>
  <w:style w:type="table" w:customStyle="1" w:styleId="ListTable4-Accent4">
    <w:name w:val="List Table 4 -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fill="8064A2" w:themeColor="accent4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fill="DFD8E7" w:themeColor="accent4" w:themeTint="40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fill="DFD8E7" w:themeColor="accent4" w:themeTint="40" w:themeFill="accent4" w:themeFillTint="40"/>
      </w:tcPr>
    </w:tblStylePr>
  </w:style>
  <w:style w:type="table" w:customStyle="1" w:styleId="ListTable4-Accent5">
    <w:name w:val="List Table 4 -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fill="4BACC6" w:themeColor="accent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fill="D1EAF0" w:themeColor="accent5" w:themeTint="4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fill="D1EAF0" w:themeColor="accent5" w:themeTint="40" w:themeFill="accent5" w:themeFillTint="40"/>
      </w:tcPr>
    </w:tblStylePr>
  </w:style>
  <w:style w:type="table" w:customStyle="1" w:styleId="ListTable4-Accent6">
    <w:name w:val="List Table 4 -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fill="F79646" w:themeColor="accent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fill="FDE4D0" w:themeColor="accent6" w:themeTint="4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fill="FDE4D0" w:themeColor="accent6" w:themeTint="4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Color="text1" w:themeTint="80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</w:style>
  <w:style w:type="table" w:customStyle="1" w:styleId="ListTable5Dark-Accent1">
    <w:name w:val="List Table 5 Dark -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Color="accent1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Color="accent1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Color="accent1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Color="accent1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Color="accent1" w:themeFill="accent1"/>
      </w:tcPr>
    </w:tblStylePr>
  </w:style>
  <w:style w:type="table" w:customStyle="1" w:styleId="ListTable5Dark-Accent2">
    <w:name w:val="List Table 5 Dark -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Color="accent2" w:themeTint="97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Color="accent2" w:themeTint="97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Color="accent2" w:themeTint="97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Color="accent2" w:themeTint="97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Color="accent2" w:themeTint="97" w:themeFill="accent2" w:themeFillTint="97"/>
      </w:tcPr>
    </w:tblStylePr>
  </w:style>
  <w:style w:type="table" w:customStyle="1" w:styleId="ListTable5Dark-Accent3">
    <w:name w:val="List Table 5 Dark -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Color="accent3" w:themeTint="98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Color="accent3" w:themeTint="98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Color="accent3" w:themeTint="98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Color="accent3" w:themeTint="98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Color="accent3" w:themeTint="98" w:themeFill="accent3" w:themeFillTint="98"/>
      </w:tcPr>
    </w:tblStylePr>
  </w:style>
  <w:style w:type="table" w:customStyle="1" w:styleId="ListTable5Dark-Accent4">
    <w:name w:val="List Table 5 Dark -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Color="accent4" w:themeTint="9A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Color="accent4" w:themeTint="9A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Color="accent4" w:themeTint="9A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Color="accent4" w:themeTint="9A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Color="accent4" w:themeTint="9A" w:themeFill="accent4" w:themeFillTint="9A"/>
      </w:tcPr>
    </w:tblStylePr>
  </w:style>
  <w:style w:type="table" w:customStyle="1" w:styleId="ListTable5Dark-Accent5">
    <w:name w:val="List Table 5 Dark -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Color="accent5" w:themeTint="9A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Color="accent5" w:themeTint="9A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Color="accent5" w:themeTint="9A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Color="accent5" w:themeTint="9A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Color="accent5" w:themeTint="9A" w:themeFill="accent5" w:themeFillTint="9A"/>
      </w:tcPr>
    </w:tblStylePr>
  </w:style>
  <w:style w:type="table" w:customStyle="1" w:styleId="ListTable5Dark-Accent6">
    <w:name w:val="List Table 5 Dark -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Color="accent6" w:themeTint="98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Color="accent6" w:themeTint="98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Color="accent6" w:themeTint="98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Color="accent6" w:themeTint="98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Color="accent6" w:themeTint="98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Color="accent1" w:themeTint="40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fill="D2DFEE" w:themeColor="accent1" w:themeTint="40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Shade="95" w:themeTint="97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Shade="95" w:themeTint="97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Shade="95" w:themeTint="97"/>
      </w:rPr>
    </w:tblStylePr>
    <w:tblStylePr w:type="lastCol">
      <w:rPr>
        <w:b/>
        <w:color w:val="D99695" w:themeColor="accent2" w:themeShade="95" w:themeTint="97"/>
      </w:rPr>
    </w:tblStylePr>
    <w:tblStylePr w:type="band1Vert">
      <w:tblPr/>
      <w:tcPr>
        <w:shd w:val="clear" w:color="EFD2D2" w:fill="EFD2D2" w:themeColor="accent2" w:themeTint="40" w:themeFill="accent2" w:themeFillTint="40"/>
      </w:tcPr>
    </w:tblStylePr>
    <w:tblStylePr w:type="band1Horz">
      <w:rPr>
        <w:rFonts w:ascii="Liberation Sans" w:hAnsi="Liberation Sans"/>
        <w:color w:val="D99695" w:themeColor="accent2" w:themeShade="95" w:themeTint="97"/>
        <w:sz w:val="22"/>
      </w:rPr>
      <w:tblPr/>
      <w:tcPr>
        <w:shd w:val="clear" w:color="EFD2D2" w:fill="EFD2D2" w:themeColor="accent2" w:themeTint="40" w:themeFill="accent2" w:themeFillTint="40"/>
      </w:tcPr>
    </w:tblStylePr>
    <w:tblStylePr w:type="band2Horz">
      <w:rPr>
        <w:rFonts w:ascii="Liberation Sans" w:hAnsi="Liberation Sans"/>
        <w:color w:val="D99695" w:themeColor="accent2" w:themeShade="95" w:themeTint="97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Shade="95" w:themeTint="98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Shade="95" w:themeTint="98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Shade="95" w:themeTint="98"/>
      </w:rPr>
    </w:tblStylePr>
    <w:tblStylePr w:type="lastCol">
      <w:rPr>
        <w:b/>
        <w:color w:val="C3D69B" w:themeColor="accent3" w:themeShade="95" w:themeTint="98"/>
      </w:rPr>
    </w:tblStylePr>
    <w:tblStylePr w:type="band1Vert">
      <w:tblPr/>
      <w:tcPr>
        <w:shd w:val="clear" w:color="E5EED5" w:fill="E5EED5" w:themeColor="accent3" w:themeTint="40" w:themeFill="accent3" w:themeFillTint="40"/>
      </w:tcPr>
    </w:tblStylePr>
    <w:tblStylePr w:type="band1Horz">
      <w:rPr>
        <w:rFonts w:ascii="Liberation Sans" w:hAnsi="Liberation Sans"/>
        <w:color w:val="C3D69B" w:themeColor="accent3" w:themeShade="95" w:themeTint="98"/>
        <w:sz w:val="22"/>
      </w:rPr>
      <w:tblPr/>
      <w:tcPr>
        <w:shd w:val="clear" w:color="E5EED5" w:fill="E5EED5" w:themeColor="accent3" w:themeTint="40" w:themeFill="accent3" w:themeFillTint="40"/>
      </w:tcPr>
    </w:tblStylePr>
    <w:tblStylePr w:type="band2Horz">
      <w:rPr>
        <w:rFonts w:ascii="Liberation Sans" w:hAnsi="Liberation Sans"/>
        <w:color w:val="C3D69B" w:themeColor="accent3" w:themeShade="95" w:themeTint="98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Shade="95" w:themeTint="9A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Shade="95" w:themeTint="9A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blPr/>
      <w:tcPr>
        <w:shd w:val="clear" w:color="DFD8E7" w:fill="DFD8E7" w:themeColor="accent4" w:themeTint="40" w:themeFill="accent4" w:themeFillTint="40"/>
      </w:tcPr>
    </w:tblStylePr>
    <w:tblStylePr w:type="band1Horz">
      <w:rPr>
        <w:rFonts w:ascii="Liberation Sans" w:hAnsi="Liberation Sans"/>
        <w:color w:val="B2A1C6" w:themeColor="accent4" w:themeShade="95" w:themeTint="9A"/>
        <w:sz w:val="22"/>
      </w:rPr>
      <w:tblPr/>
      <w:tcPr>
        <w:shd w:val="clear" w:color="DFD8E7" w:fill="DFD8E7" w:themeColor="accent4" w:themeTint="40" w:themeFill="accent4" w:themeFillTint="40"/>
      </w:tcPr>
    </w:tblStylePr>
    <w:tblStylePr w:type="band2Horz">
      <w:rPr>
        <w:rFonts w:ascii="Liberation Sans" w:hAnsi="Liberation Sans"/>
        <w:color w:val="B2A1C6" w:themeColor="accent4" w:themeShade="95" w:themeTint="9A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Shade="95" w:themeTint="9A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Shade="95" w:themeTint="9A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blPr/>
      <w:tcPr>
        <w:shd w:val="clear" w:color="D1EAF0" w:fill="D1EAF0" w:themeColor="accent5" w:themeTint="40" w:themeFill="accent5" w:themeFillTint="40"/>
      </w:tcPr>
    </w:tblStylePr>
    <w:tblStylePr w:type="band1Horz">
      <w:rPr>
        <w:rFonts w:ascii="Liberation Sans" w:hAnsi="Liberation Sans"/>
        <w:color w:val="92CCDC" w:themeColor="accent5" w:themeShade="95" w:themeTint="9A"/>
        <w:sz w:val="22"/>
      </w:rPr>
      <w:tblPr/>
      <w:tcPr>
        <w:shd w:val="clear" w:color="D1EAF0" w:fill="D1EAF0" w:themeColor="accent5" w:themeTint="40" w:themeFill="accent5" w:themeFillTint="40"/>
      </w:tcPr>
    </w:tblStylePr>
    <w:tblStylePr w:type="band2Horz">
      <w:rPr>
        <w:rFonts w:ascii="Liberation Sans" w:hAnsi="Liberation Sans"/>
        <w:color w:val="92CCDC" w:themeColor="accent5" w:themeShade="95" w:themeTint="9A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Shade="95" w:themeTint="98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Shade="95" w:themeTint="98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blPr/>
      <w:tcPr>
        <w:shd w:val="clear" w:color="FDE4D0" w:fill="FDE4D0" w:themeColor="accent6" w:themeTint="40" w:themeFill="accent6" w:themeFillTint="40"/>
      </w:tcPr>
    </w:tblStylePr>
    <w:tblStylePr w:type="band1Horz">
      <w:rPr>
        <w:rFonts w:ascii="Liberation Sans" w:hAnsi="Liberation Sans"/>
        <w:color w:val="FAC090" w:themeColor="accent6" w:themeShade="95" w:themeTint="98"/>
        <w:sz w:val="22"/>
      </w:rPr>
      <w:tblPr/>
      <w:tcPr>
        <w:shd w:val="clear" w:color="FDE4D0" w:fill="FDE4D0" w:themeColor="accent6" w:themeTint="40" w:themeFill="accent6" w:themeFillTint="40"/>
      </w:tcPr>
    </w:tblStylePr>
    <w:tblStylePr w:type="band2Horz">
      <w:rPr>
        <w:rFonts w:ascii="Liberation Sans" w:hAnsi="Liberation Sans"/>
        <w:color w:val="FAC090" w:themeColor="accent6" w:themeShade="95" w:themeTint="98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i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Shade="95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Shade="95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Liberation Sans" w:hAnsi="Liberation Sans"/>
        <w:color w:val="7F7F7F" w:themeColor="text1" w:themeShade="95" w:themeTint="8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Liberation Sans" w:hAnsi="Liberation Sans"/>
        <w:color w:val="7F7F7F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D2DFEE" w:themeColor="accent1" w:themeTint="40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fill="D2DFEE" w:themeColor="accent1" w:themeTint="40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Shade="95" w:themeTint="97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i/>
        <w:color w:val="D99695" w:themeColor="accent2" w:themeShade="95" w:themeTint="97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Shade="95" w:themeTint="97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Shade="95" w:themeTint="97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EFD2D2" w:themeColor="accent2" w:themeTint="40" w:themeFill="accent2" w:themeFillTint="40"/>
      </w:tcPr>
    </w:tblStylePr>
    <w:tblStylePr w:type="band1Horz">
      <w:rPr>
        <w:rFonts w:ascii="Liberation Sans" w:hAnsi="Liberation Sans"/>
        <w:color w:val="D99695" w:themeColor="accent2" w:themeShade="95" w:themeTint="97"/>
        <w:sz w:val="22"/>
      </w:rPr>
      <w:tblPr/>
      <w:tcPr>
        <w:shd w:val="clear" w:color="EFD2D2" w:fill="EFD2D2" w:themeColor="accent2" w:themeTint="40" w:themeFill="accent2" w:themeFillTint="40"/>
      </w:tcPr>
    </w:tblStylePr>
    <w:tblStylePr w:type="band2Horz">
      <w:rPr>
        <w:rFonts w:ascii="Liberation Sans" w:hAnsi="Liberation Sans"/>
        <w:color w:val="D99695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Shade="95" w:themeTint="98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i/>
        <w:color w:val="C3D69B" w:themeColor="accent3" w:themeShade="95" w:themeTint="98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Shade="95" w:themeTint="98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E5EED5" w:themeColor="accent3" w:themeTint="40" w:themeFill="accent3" w:themeFillTint="40"/>
      </w:tcPr>
    </w:tblStylePr>
    <w:tblStylePr w:type="band1Horz">
      <w:rPr>
        <w:rFonts w:ascii="Liberation Sans" w:hAnsi="Liberation Sans"/>
        <w:color w:val="C3D69B" w:themeColor="accent3" w:themeShade="95" w:themeTint="98"/>
        <w:sz w:val="22"/>
      </w:rPr>
      <w:tblPr/>
      <w:tcPr>
        <w:shd w:val="clear" w:color="E5EED5" w:fill="E5EED5" w:themeColor="accent3" w:themeTint="40" w:themeFill="accent3" w:themeFillTint="40"/>
      </w:tcPr>
    </w:tblStylePr>
    <w:tblStylePr w:type="band2Horz">
      <w:rPr>
        <w:rFonts w:ascii="Liberation Sans" w:hAnsi="Liberation Sans"/>
        <w:color w:val="C3D69B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i/>
        <w:color w:val="B2A1C6" w:themeColor="accent4" w:themeShade="95" w:themeTint="9A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Shade="95" w:themeTint="9A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DFD8E7" w:themeColor="accent4" w:themeTint="40" w:themeFill="accent4" w:themeFillTint="40"/>
      </w:tcPr>
    </w:tblStylePr>
    <w:tblStylePr w:type="band1Horz">
      <w:rPr>
        <w:rFonts w:ascii="Liberation Sans" w:hAnsi="Liberation Sans"/>
        <w:color w:val="B2A1C6" w:themeColor="accent4" w:themeShade="95" w:themeTint="9A"/>
        <w:sz w:val="22"/>
      </w:rPr>
      <w:tblPr/>
      <w:tcPr>
        <w:shd w:val="clear" w:color="DFD8E7" w:fill="DFD8E7" w:themeColor="accent4" w:themeTint="40" w:themeFill="accent4" w:themeFillTint="40"/>
      </w:tcPr>
    </w:tblStylePr>
    <w:tblStylePr w:type="band2Horz">
      <w:rPr>
        <w:rFonts w:ascii="Liberation Sans" w:hAnsi="Liberation Sans"/>
        <w:color w:val="B2A1C6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Shade="95" w:themeTint="9A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i/>
        <w:color w:val="92CCDC" w:themeColor="accent5" w:themeShade="95" w:themeTint="9A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Shade="95" w:themeTint="9A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Shade="95" w:themeTint="9A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D1EAF0" w:themeColor="accent5" w:themeTint="40" w:themeFill="accent5" w:themeFillTint="40"/>
      </w:tcPr>
    </w:tblStylePr>
    <w:tblStylePr w:type="band1Horz">
      <w:rPr>
        <w:rFonts w:ascii="Liberation Sans" w:hAnsi="Liberation Sans"/>
        <w:color w:val="92CCDC" w:themeColor="accent5" w:themeShade="95" w:themeTint="9A"/>
        <w:sz w:val="22"/>
      </w:rPr>
      <w:tblPr/>
      <w:tcPr>
        <w:shd w:val="clear" w:color="D1EAF0" w:fill="D1EAF0" w:themeColor="accent5" w:themeTint="40" w:themeFill="accent5" w:themeFillTint="40"/>
      </w:tcPr>
    </w:tblStylePr>
    <w:tblStylePr w:type="band2Horz">
      <w:rPr>
        <w:rFonts w:ascii="Liberation Sans" w:hAnsi="Liberation Sans"/>
        <w:color w:val="92CCDC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Shade="95" w:themeTint="98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fill="FFFFFF" w:themeColor="light1" w:themeFill="light1"/>
      </w:tcPr>
    </w:tblStylePr>
    <w:tblStylePr w:type="lastRow">
      <w:rPr>
        <w:rFonts w:ascii="Liberation Sans" w:hAnsi="Liberation Sans"/>
        <w:i/>
        <w:color w:val="FAC090" w:themeColor="accent6" w:themeShade="95" w:themeTint="98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Shade="95" w:themeTint="98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Shade="95" w:themeTint="98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FDE4D0" w:themeColor="accent6" w:themeTint="40" w:themeFill="accent6" w:themeFillTint="40"/>
      </w:tcPr>
    </w:tblStylePr>
    <w:tblStylePr w:type="band1Horz">
      <w:rPr>
        <w:rFonts w:ascii="Liberation Sans" w:hAnsi="Liberation Sans"/>
        <w:color w:val="FAC090" w:themeColor="accent6" w:themeShade="95" w:themeTint="98"/>
        <w:sz w:val="22"/>
      </w:rPr>
      <w:tblPr/>
      <w:tcPr>
        <w:shd w:val="clear" w:color="FDE4D0" w:fill="FDE4D0" w:themeColor="accent6" w:themeTint="40" w:themeFill="accent6" w:themeFillTint="40"/>
      </w:tcPr>
    </w:tblStylePr>
    <w:tblStylePr w:type="band2Horz">
      <w:rPr>
        <w:rFonts w:ascii="Liberation Sans" w:hAnsi="Liberation Sans"/>
        <w:color w:val="FAC090" w:themeColor="accent6" w:themeShade="95" w:themeTint="98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fill="C7D7EA" w:themeColor="accent1" w:themeTint="50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fill="C7D7EA" w:themeColor="accent1" w:themeTint="50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fill="7F7F7F" w:themeColor="text1" w:themeTint="80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fill="5D8AC2" w:themeColor="accent1" w:themeTint="EA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fill="C7D7EA" w:themeColor="accent1" w:themeTint="50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fill="C7D7EA" w:themeColor="accent1" w:themeTint="50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fill="D99695" w:themeColor="accent2" w:themeTint="97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fill="F2DCDC" w:themeColor="accent2" w:themeTint="32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fill="9ABB59" w:themeColor="accent3" w:themeTint="FE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fill="EAF1DC" w:themeColor="accent3" w:themeTint="34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fill="B2A1C6" w:themeColor="accent4" w:themeTint="9A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fill="E5DFEC" w:themeColor="accent4" w:themeTint="34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fill="4BACC6" w:themeColor="accent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fill="DAEEF3" w:themeColor="accent5" w:themeTint="34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fill="F79646" w:themeColor="accent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fill="FDE9D8" w:themeColor="accent6" w:themeTint="34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EndnoteText">
    <w:name w:val="endnote text"/>
    <w:basedOn w:val="Normal"/>
    <w:link w:val="a4"/>
    <w:uiPriority w:val="99"/>
    <w:semiHidden/>
    <w:unhideWhenUsed/>
    <w:rPr>
      <w:sz w:val="20"/>
    </w:rPr>
  </w:style>
  <w:style w:type="character" w:customStyle="1" w:styleId="a4">
    <w:name w:val="Текст концевой сноски Знак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BodyText">
    <w:name w:val="Body Text"/>
    <w:basedOn w:val="Normal"/>
    <w:next w:val="Normal"/>
    <w:pPr>
      <w:ind w:firstLine="0"/>
      <w:jc w:val="both"/>
    </w:pPr>
    <w:rPr>
      <w:sz w:val="22"/>
    </w:rPr>
  </w:style>
  <w:style w:type="paragraph" w:styleId="Header">
    <w:name w:val="header"/>
    <w:basedOn w:val="Normal"/>
    <w:link w:val="a9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a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Caption">
    <w:name w:val="caption"/>
    <w:basedOn w:val="Normal"/>
    <w:next w:val="Normal"/>
    <w:link w:val="a3"/>
    <w:qFormat/>
    <w:pPr>
      <w:jc w:val="center"/>
    </w:pPr>
    <w:rPr>
      <w:b/>
      <w:sz w:val="28"/>
    </w:rPr>
  </w:style>
  <w:style w:type="paragraph" w:styleId="BodyText2">
    <w:name w:val="Body Text 2"/>
    <w:basedOn w:val="Normal"/>
    <w:link w:val="20"/>
    <w:pPr>
      <w:spacing w:before="120"/>
      <w:ind w:right="5102" w:firstLine="0"/>
      <w:jc w:val="center"/>
    </w:pPr>
  </w:style>
  <w:style w:type="paragraph" w:customStyle="1" w:styleId="a5">
    <w:name w:val="Обращение"/>
    <w:basedOn w:val="Normal"/>
    <w:next w:val="Normal"/>
    <w:pPr>
      <w:spacing w:before="240" w:after="120"/>
      <w:ind w:firstLine="0"/>
      <w:jc w:val="center"/>
    </w:pPr>
    <w:rPr>
      <w:b/>
    </w:rPr>
  </w:style>
  <w:style w:type="paragraph" w:customStyle="1" w:styleId="a6">
    <w:name w:val="Адресные реквизиты"/>
    <w:basedOn w:val="BodyText"/>
    <w:next w:val="BodyText"/>
    <w:pPr>
      <w:jc w:val="left"/>
    </w:pPr>
    <w:rPr>
      <w:sz w:val="16"/>
    </w:rPr>
  </w:style>
  <w:style w:type="paragraph" w:customStyle="1" w:styleId="a7">
    <w:name w:val="Адресат"/>
    <w:basedOn w:val="Normal"/>
    <w:pPr>
      <w:spacing w:before="120"/>
      <w:ind w:firstLine="0"/>
    </w:pPr>
    <w:rPr>
      <w:b/>
    </w:rPr>
  </w:style>
  <w:style w:type="paragraph" w:styleId="BodyText3">
    <w:name w:val="Body Text 3"/>
    <w:basedOn w:val="Normal"/>
    <w:link w:val="30"/>
    <w:pPr>
      <w:tabs>
        <w:tab w:val="left" w:pos="7371"/>
      </w:tabs>
      <w:spacing w:before="120"/>
      <w:ind w:firstLine="0"/>
    </w:pPr>
    <w:rPr>
      <w:sz w:val="28"/>
    </w:rPr>
  </w:style>
  <w:style w:type="paragraph" w:customStyle="1" w:styleId="1">
    <w:name w:val="Знак1 Знак Знак Знак"/>
    <w:basedOn w:val="Normal"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ConsPlusNormal">
    <w:name w:val="ConsPlusNormal"/>
    <w:pPr>
      <w:widowControl w:val="0"/>
    </w:pPr>
    <w:rPr>
      <w:rFonts w:eastAsia="Batang"/>
      <w:sz w:val="24"/>
      <w:lang w:eastAsia="ko-KR"/>
    </w:rPr>
  </w:style>
  <w:style w:type="paragraph" w:customStyle="1" w:styleId="ConsPlusTitle">
    <w:name w:val="ConsPlusTitle"/>
    <w:pPr>
      <w:widowControl w:val="0"/>
    </w:pPr>
    <w:rPr>
      <w:rFonts w:eastAsia="Batang"/>
      <w:b/>
      <w:sz w:val="24"/>
      <w:lang w:eastAsia="ko-KR"/>
    </w:rPr>
  </w:style>
  <w:style w:type="paragraph" w:styleId="BalloonText">
    <w:name w:val="Balloon Text"/>
    <w:basedOn w:val="Normal"/>
    <w:link w:val="a8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BalloonText"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link w:val="Header"/>
    <w:uiPriority w:val="99"/>
    <w:rPr>
      <w:b/>
      <w:caps/>
      <w:sz w:val="28"/>
    </w:rPr>
  </w:style>
  <w:style w:type="character" w:customStyle="1" w:styleId="30">
    <w:name w:val="Основной текст 3 Знак"/>
    <w:link w:val="BodyText3"/>
    <w:rPr>
      <w:sz w:val="28"/>
    </w:rPr>
  </w:style>
  <w:style w:type="paragraph" w:customStyle="1" w:styleId="ConsPlusCell">
    <w:name w:val="ConsPlusCell"/>
    <w:pPr>
      <w:widowControl w:val="0"/>
    </w:pPr>
    <w:rPr>
      <w:sz w:val="24"/>
      <w:szCs w:val="24"/>
    </w:r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Heading1"/>
    <w:rPr>
      <w:b/>
      <w:color w:val="000000"/>
      <w:spacing w:val="-2"/>
      <w:sz w:val="25"/>
      <w:shd w:val="clear" w:color="auto" w:fill="FFFFFF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</w:rPr>
  </w:style>
  <w:style w:type="character" w:customStyle="1" w:styleId="20">
    <w:name w:val="Основной текст 2 Знак"/>
    <w:link w:val="BodyText2"/>
    <w:rPr>
      <w:sz w:val="26"/>
    </w:rPr>
  </w:style>
  <w:style w:type="paragraph" w:customStyle="1" w:styleId="a10">
    <w:name w:val="Знак"/>
    <w:basedOn w:val="Normal"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BodyTextIndent2">
    <w:name w:val="Body Text Indent 2"/>
    <w:basedOn w:val="Normal"/>
    <w:link w:val="2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BodyTextIndent2"/>
    <w:rPr>
      <w:sz w:val="26"/>
    </w:rPr>
  </w:style>
  <w:style w:type="paragraph" w:styleId="BodyTextIndent3">
    <w:name w:val="Body Text Indent 3"/>
    <w:basedOn w:val="Normal"/>
    <w:link w:val="3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BodyTextIndent3"/>
    <w:rPr>
      <w:sz w:val="16"/>
      <w:szCs w:val="16"/>
    </w:rPr>
  </w:style>
  <w:style w:type="character" w:customStyle="1" w:styleId="a11">
    <w:name w:val="Колонтитул_"/>
    <w:link w:val="a12"/>
    <w:uiPriority w:val="99"/>
    <w:rPr>
      <w:shd w:val="clear" w:color="auto" w:fill="FFFFFF"/>
    </w:rPr>
  </w:style>
  <w:style w:type="paragraph" w:customStyle="1" w:styleId="a12">
    <w:name w:val="Колонтитул"/>
    <w:basedOn w:val="Normal"/>
    <w:link w:val="a11"/>
    <w:uiPriority w:val="99"/>
    <w:pPr>
      <w:shd w:val="clear" w:color="auto" w:fill="FFFFFF"/>
      <w:ind w:firstLine="0"/>
    </w:pPr>
    <w:rPr>
      <w:sz w:val="20"/>
    </w:rPr>
  </w:style>
  <w:style w:type="paragraph" w:styleId="FootnoteText">
    <w:name w:val="footnote text"/>
    <w:basedOn w:val="Normal"/>
    <w:link w:val="a13"/>
    <w:uiPriority w:val="99"/>
    <w:unhideWhenUsed/>
    <w:pPr>
      <w:ind w:firstLine="0"/>
    </w:pPr>
    <w:rPr>
      <w:rFonts w:ascii="Calibri" w:eastAsia="Calibri" w:hAnsi="Calibri"/>
      <w:sz w:val="20"/>
      <w:lang w:eastAsia="en-US"/>
    </w:rPr>
  </w:style>
  <w:style w:type="character" w:customStyle="1" w:styleId="a13">
    <w:name w:val="Текст сноски Знак"/>
    <w:basedOn w:val="DefaultParagraphFont"/>
    <w:link w:val="FootnoteText"/>
    <w:uiPriority w:val="99"/>
    <w:rPr>
      <w:rFonts w:ascii="Calibri" w:eastAsia="Calibri" w:hAnsi="Calibri" w:cs="Times New Roman"/>
      <w:lang w:eastAsia="en-US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character" w:customStyle="1" w:styleId="22">
    <w:name w:val="Заголовок 2 Знак"/>
    <w:basedOn w:val="DefaultParagraphFont"/>
    <w:link w:val="Heading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customStyle="1" w:styleId="formattext">
    <w:name w:val="formattext"/>
    <w:basedOn w:val="Normal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  <w:ind w:firstLine="0"/>
    </w:pPr>
    <w:rPr>
      <w:sz w:val="24"/>
      <w:szCs w:val="24"/>
    </w:rPr>
  </w:style>
  <w:style w:type="table" w:customStyle="1" w:styleId="-51">
    <w:name w:val="Таблица-сетк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paragraph" w:styleId="ListNumber">
    <w:name w:val="List Number"/>
    <w:basedOn w:val="ListParagraph"/>
    <w:uiPriority w:val="99"/>
    <w:unhideWhenUsed/>
    <w:pPr>
      <w:numPr>
        <w:numId w:val="10"/>
      </w:numPr>
      <w:tabs>
        <w:tab w:val="clear" w:pos="0"/>
        <w:tab w:val="num" w:pos="360"/>
      </w:tabs>
      <w:spacing w:before="160"/>
      <w:ind w:left="720" w:firstLine="0"/>
      <w:contextualSpacing w:val="0"/>
      <w:jc w:val="both"/>
    </w:pPr>
    <w:rPr>
      <w:rFonts w:ascii="Arial" w:eastAsia="Calibri" w:hAnsi="Arial"/>
      <w:sz w:val="20"/>
      <w:lang w:eastAsia="en-US"/>
    </w:rPr>
  </w:style>
  <w:style w:type="character" w:customStyle="1" w:styleId="a14">
    <w:name w:val="Основной текст_"/>
    <w:basedOn w:val="DefaultParagraphFont"/>
    <w:link w:val="11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14"/>
    <w:pPr>
      <w:shd w:val="clear" w:color="auto" w:fill="FFFFFF"/>
      <w:spacing w:before="840" w:after="960" w:line="331" w:lineRule="exact"/>
      <w:ind w:firstLine="0"/>
      <w:jc w:val="both"/>
    </w:pPr>
    <w:rPr>
      <w:szCs w:val="26"/>
    </w:rPr>
  </w:style>
  <w:style w:type="paragraph" w:customStyle="1" w:styleId="Default">
    <w:name w:val="Default"/>
    <w:rPr>
      <w:rFonts w:ascii="PT Astra Serif" w:hAnsi="PT Astra Serif" w:eastAsiaTheme="minorHAnsi" w:cs="PT Astra Serif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34238-30E3-467D-9A22-E2F1AF64E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Главы администрации</vt:lpstr>
    </vt:vector>
  </TitlesOfParts>
  <Company>Администрация Томской области</Company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creator>mazaeva</dc:creator>
  <cp:lastModifiedBy>Алексей Орлов</cp:lastModifiedBy>
  <cp:revision>15</cp:revision>
  <cp:lastPrinted>2026-04-13T03:48:00Z</cp:lastPrinted>
  <dcterms:created xsi:type="dcterms:W3CDTF">2026-03-23T10:41:00Z</dcterms:created>
  <dcterms:modified xsi:type="dcterms:W3CDTF">2026-04-13T03:49:00Z</dcterms:modified>
</cp:coreProperties>
</file>