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4C" w:rsidRDefault="009461BB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Сводный отчет</w:t>
      </w:r>
    </w:p>
    <w:p w:rsidR="0040104C" w:rsidRDefault="009461BB">
      <w:pPr>
        <w:pStyle w:val="ConsPlusNormal"/>
        <w:spacing w:after="24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о проведении оценки регулирующего воздействия</w:t>
      </w:r>
    </w:p>
    <w:p w:rsidR="0040104C" w:rsidRDefault="009461BB">
      <w:pPr>
        <w:pStyle w:val="ConsPlusNormal"/>
        <w:tabs>
          <w:tab w:val="left" w:pos="993"/>
        </w:tabs>
        <w:ind w:left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1. Общая информация.</w:t>
      </w:r>
    </w:p>
    <w:p w:rsidR="0040104C" w:rsidRDefault="009461BB">
      <w:pPr>
        <w:pStyle w:val="ConsPlusNormal"/>
        <w:tabs>
          <w:tab w:val="left" w:pos="993"/>
        </w:tabs>
        <w:ind w:left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iCs/>
          <w:sz w:val="26"/>
          <w:szCs w:val="26"/>
        </w:rPr>
        <w:t>1.1. Разработчик:</w:t>
      </w:r>
      <w:r>
        <w:rPr>
          <w:rFonts w:ascii="PT Astra Serif" w:hAnsi="PT Astra Serif" w:cs="Times New Roman"/>
          <w:iCs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>Департамент инвестиционной и промышленной политики Томской области (далее – Департамент)</w:t>
      </w:r>
    </w:p>
    <w:p w:rsidR="0040104C" w:rsidRDefault="009461BB">
      <w:pPr>
        <w:pStyle w:val="Default"/>
        <w:tabs>
          <w:tab w:val="left" w:pos="1134"/>
        </w:tabs>
        <w:ind w:left="709"/>
        <w:jc w:val="both"/>
        <w:rPr>
          <w:rFonts w:ascii="PT Astra Serif" w:hAnsi="PT Astra Serif" w:cs="Times New Roman"/>
          <w:b/>
          <w:iCs/>
          <w:sz w:val="26"/>
          <w:szCs w:val="26"/>
        </w:rPr>
      </w:pPr>
      <w:r>
        <w:rPr>
          <w:rFonts w:ascii="PT Astra Serif" w:hAnsi="PT Astra Serif" w:cs="Times New Roman"/>
          <w:b/>
          <w:iCs/>
          <w:sz w:val="26"/>
          <w:szCs w:val="26"/>
        </w:rPr>
        <w:t>1.2. Вид и наименование проекта нормативного правового акта:</w:t>
      </w:r>
    </w:p>
    <w:p w:rsidR="0040104C" w:rsidRDefault="009461BB">
      <w:pPr>
        <w:pStyle w:val="Defaul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Постановление Губернатора Томской области «О внесении изменений в постановление Губернатора Томской области от 16.10.2007 № 140» (далее - проект постановления).</w:t>
      </w:r>
    </w:p>
    <w:p w:rsidR="0040104C" w:rsidRDefault="009461BB">
      <w:pPr>
        <w:pStyle w:val="Default"/>
        <w:ind w:firstLine="709"/>
        <w:jc w:val="both"/>
        <w:rPr>
          <w:rFonts w:ascii="PT Astra Serif" w:hAnsi="PT Astra Serif" w:cs="Times New Roman"/>
          <w:iCs/>
          <w:sz w:val="26"/>
          <w:szCs w:val="26"/>
        </w:rPr>
      </w:pPr>
      <w:r>
        <w:rPr>
          <w:rFonts w:ascii="PT Astra Serif" w:hAnsi="PT Astra Serif" w:cs="Times New Roman"/>
          <w:b/>
          <w:iCs/>
          <w:sz w:val="26"/>
          <w:szCs w:val="26"/>
        </w:rPr>
        <w:t>1.3. Обсуждение идеи (концепции) предлагаемого правового регулирования (</w:t>
      </w:r>
      <w:proofErr w:type="gramStart"/>
      <w:r>
        <w:rPr>
          <w:rFonts w:ascii="PT Astra Serif" w:hAnsi="PT Astra Serif" w:cs="Times New Roman"/>
          <w:b/>
          <w:iCs/>
          <w:sz w:val="26"/>
          <w:szCs w:val="26"/>
        </w:rPr>
        <w:t>проводилось</w:t>
      </w:r>
      <w:proofErr w:type="gramEnd"/>
      <w:r>
        <w:rPr>
          <w:rFonts w:ascii="PT Astra Serif" w:hAnsi="PT Astra Serif" w:cs="Times New Roman"/>
          <w:b/>
          <w:iCs/>
          <w:sz w:val="26"/>
          <w:szCs w:val="26"/>
        </w:rPr>
        <w:t>/ не проводи</w:t>
      </w:r>
      <w:r>
        <w:rPr>
          <w:rFonts w:ascii="PT Astra Serif" w:hAnsi="PT Astra Serif" w:cs="Times New Roman"/>
          <w:b/>
          <w:iCs/>
          <w:sz w:val="26"/>
          <w:szCs w:val="26"/>
        </w:rPr>
        <w:t>лось):</w:t>
      </w:r>
      <w:r>
        <w:rPr>
          <w:rFonts w:ascii="PT Astra Serif" w:hAnsi="PT Astra Serif" w:cs="Times New Roman"/>
          <w:iCs/>
          <w:sz w:val="26"/>
          <w:szCs w:val="26"/>
        </w:rPr>
        <w:t xml:space="preserve"> не проводилось.</w:t>
      </w:r>
    </w:p>
    <w:p w:rsidR="0040104C" w:rsidRDefault="009461BB">
      <w:pPr>
        <w:pStyle w:val="Default"/>
        <w:ind w:firstLine="709"/>
        <w:jc w:val="both"/>
        <w:rPr>
          <w:rFonts w:ascii="PT Astra Serif" w:hAnsi="PT Astra Serif" w:cs="Times New Roman"/>
          <w:iCs/>
          <w:sz w:val="26"/>
          <w:szCs w:val="26"/>
        </w:rPr>
      </w:pPr>
      <w:r>
        <w:rPr>
          <w:rFonts w:ascii="PT Astra Serif" w:hAnsi="PT Astra Serif" w:cs="Times New Roman"/>
          <w:b/>
          <w:iCs/>
          <w:sz w:val="26"/>
          <w:szCs w:val="26"/>
        </w:rPr>
        <w:t>1.3.1. Период, в течение которого проводилось обсуждение идеи (концепции) предлагаемого правового регулирования (</w:t>
      </w:r>
      <w:proofErr w:type="gramStart"/>
      <w:r>
        <w:rPr>
          <w:rFonts w:ascii="PT Astra Serif" w:hAnsi="PT Astra Serif" w:cs="Times New Roman"/>
          <w:b/>
          <w:iCs/>
          <w:sz w:val="26"/>
          <w:szCs w:val="26"/>
        </w:rPr>
        <w:t>указывается</w:t>
      </w:r>
      <w:proofErr w:type="gramEnd"/>
      <w:r>
        <w:rPr>
          <w:rFonts w:ascii="PT Astra Serif" w:hAnsi="PT Astra Serif" w:cs="Times New Roman"/>
          <w:b/>
          <w:iCs/>
          <w:sz w:val="26"/>
          <w:szCs w:val="26"/>
        </w:rPr>
        <w:t xml:space="preserve"> если обсуждение проводилось): </w:t>
      </w:r>
      <w:r>
        <w:rPr>
          <w:rFonts w:ascii="PT Astra Serif" w:hAnsi="PT Astra Serif" w:cs="Times New Roman"/>
          <w:iCs/>
          <w:sz w:val="26"/>
          <w:szCs w:val="26"/>
        </w:rPr>
        <w:t>с_______________ по ______________.</w:t>
      </w:r>
    </w:p>
    <w:p w:rsidR="0040104C" w:rsidRDefault="009461BB">
      <w:pPr>
        <w:pStyle w:val="Default"/>
        <w:ind w:firstLine="709"/>
        <w:jc w:val="both"/>
        <w:rPr>
          <w:rFonts w:ascii="PT Astra Serif" w:hAnsi="PT Astra Serif" w:cs="Times New Roman"/>
          <w:iCs/>
          <w:sz w:val="26"/>
          <w:szCs w:val="26"/>
        </w:rPr>
      </w:pPr>
      <w:r>
        <w:rPr>
          <w:rFonts w:ascii="PT Astra Serif" w:hAnsi="PT Astra Serif" w:cs="Times New Roman"/>
          <w:b/>
          <w:iCs/>
          <w:sz w:val="26"/>
          <w:szCs w:val="26"/>
        </w:rPr>
        <w:t>1.3.2. Количество замечаний, предложений и</w:t>
      </w:r>
      <w:r>
        <w:rPr>
          <w:rFonts w:ascii="PT Astra Serif" w:hAnsi="PT Astra Serif" w:cs="Times New Roman"/>
          <w:b/>
          <w:iCs/>
          <w:sz w:val="26"/>
          <w:szCs w:val="26"/>
        </w:rPr>
        <w:t xml:space="preserve"> мнений, полученных в связи с проведением обсуждения идеи (концепции) предлагаемого правового регулирования (указывается, если обсуждение проводилось):</w:t>
      </w:r>
      <w:r>
        <w:rPr>
          <w:rFonts w:ascii="PT Astra Serif" w:hAnsi="PT Astra Serif" w:cs="Times New Roman"/>
          <w:iCs/>
          <w:sz w:val="26"/>
          <w:szCs w:val="26"/>
        </w:rPr>
        <w:t xml:space="preserve"> ______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1.4. Наличие или отсутствие в проекте акта обязательных требований:</w:t>
      </w:r>
    </w:p>
    <w:p w:rsidR="0040104C" w:rsidRDefault="009461BB">
      <w:pPr>
        <w:pStyle w:val="ConsPlus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Требования, которым должны со</w:t>
      </w:r>
      <w:r>
        <w:rPr>
          <w:rFonts w:ascii="PT Astra Serif" w:hAnsi="PT Astra Serif" w:cs="Times New Roman"/>
          <w:sz w:val="26"/>
          <w:szCs w:val="26"/>
        </w:rPr>
        <w:t xml:space="preserve">ответствовать </w:t>
      </w:r>
      <w:r>
        <w:rPr>
          <w:rFonts w:ascii="PT Astra Serif" w:hAnsi="PT Astra Serif"/>
          <w:sz w:val="26"/>
          <w:szCs w:val="26"/>
        </w:rPr>
        <w:t xml:space="preserve">участники </w:t>
      </w:r>
      <w:r>
        <w:rPr>
          <w:rFonts w:ascii="PT Astra Serif" w:hAnsi="PT Astra Serif" w:cs="Times New Roman"/>
          <w:sz w:val="26"/>
          <w:szCs w:val="26"/>
        </w:rPr>
        <w:t>отбора инвестиционных проектов для включения инвестиционных проектов в Реестр и</w:t>
      </w:r>
      <w:bookmarkStart w:id="0" w:name="_GoBack"/>
      <w:bookmarkEnd w:id="0"/>
      <w:r>
        <w:rPr>
          <w:rFonts w:ascii="PT Astra Serif" w:hAnsi="PT Astra Serif" w:cs="Times New Roman"/>
          <w:sz w:val="26"/>
          <w:szCs w:val="26"/>
        </w:rPr>
        <w:t>нвестиционных проектов Томской области (далее – отбор, Реестр);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критерии, которым должен соответствовать инвестиционный проект; требования к документам, предоставляемым для участия в отборе.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1.5. Степень регулирующего воздействия проекта акта:</w:t>
      </w:r>
      <w:r>
        <w:rPr>
          <w:rFonts w:ascii="PT Astra Serif" w:hAnsi="PT Astra Serif" w:cs="Times New Roman"/>
          <w:sz w:val="26"/>
          <w:szCs w:val="26"/>
        </w:rPr>
        <w:t xml:space="preserve"> средняя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1.6. Срок проведения публичных консультаций, в течение которого разр</w:t>
      </w:r>
      <w:r>
        <w:rPr>
          <w:rFonts w:ascii="PT Astra Serif" w:hAnsi="PT Astra Serif" w:cs="Times New Roman"/>
          <w:b/>
          <w:sz w:val="26"/>
          <w:szCs w:val="26"/>
        </w:rPr>
        <w:t>аботчиком принимаются предложения, замечания и мнения по проекту акта:</w:t>
      </w:r>
      <w:r>
        <w:rPr>
          <w:rFonts w:ascii="PT Astra Serif" w:hAnsi="PT Astra Serif" w:cs="Times New Roman"/>
          <w:sz w:val="26"/>
          <w:szCs w:val="26"/>
        </w:rPr>
        <w:t xml:space="preserve"> с 14 апреля 2026 года по 27 апреля 2026 года включительно.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1.7. Контактная информация ответственного лица разработчика проекта акта: </w:t>
      </w:r>
      <w:r>
        <w:rPr>
          <w:rFonts w:ascii="PT Astra Serif" w:hAnsi="PT Astra Serif" w:cs="Times New Roman"/>
          <w:sz w:val="26"/>
          <w:szCs w:val="26"/>
        </w:rPr>
        <w:t>Осокина Дарья Сергеевна – заместитель председателя к</w:t>
      </w:r>
      <w:r>
        <w:rPr>
          <w:rFonts w:ascii="PT Astra Serif" w:hAnsi="PT Astra Serif" w:cs="Times New Roman"/>
          <w:sz w:val="26"/>
          <w:szCs w:val="26"/>
        </w:rPr>
        <w:t>омитета государственной поддержки инвестиционной деятельности Департамента, телефон: (3822) 907-719, адрес электронной почты: osokinads@tomsk.gov.ru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2. Проблема, на решение которой направлен предлагаемый вариант правового регулирования, оценка негативных э</w:t>
      </w:r>
      <w:r>
        <w:rPr>
          <w:rFonts w:ascii="PT Astra Serif" w:hAnsi="PT Astra Serif" w:cs="Times New Roman"/>
          <w:b/>
          <w:sz w:val="26"/>
          <w:szCs w:val="26"/>
        </w:rPr>
        <w:t>ффектов, возникающих в связи с наличием рассматриваемой проблемы.</w:t>
      </w:r>
    </w:p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2.1. Описание проблемы: </w:t>
      </w:r>
    </w:p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proofErr w:type="gramStart"/>
      <w:r>
        <w:rPr>
          <w:rFonts w:ascii="PT Astra Serif" w:hAnsi="PT Astra Serif" w:cs="PT Astra Serif"/>
          <w:sz w:val="26"/>
          <w:szCs w:val="26"/>
          <w:lang w:eastAsia="ru-RU"/>
        </w:rPr>
        <w:t xml:space="preserve">В соответствии с ч. 1 статьи 12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Закона Томской области от 10.11.2025 № 106-ОЗ «Об инвестиционной политике и государственной поддержке инвестиционной деятельности в Т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омской области» (далее – Закон № 106-ОЗ) </w:t>
      </w:r>
      <w:r>
        <w:rPr>
          <w:rFonts w:ascii="PT Astra Serif" w:hAnsi="PT Astra Serif" w:cs="PT Astra Serif"/>
          <w:sz w:val="26"/>
          <w:szCs w:val="26"/>
          <w:lang w:eastAsia="ru-RU"/>
        </w:rPr>
        <w:t>на предоставление мер государственной поддержки инвестиционной деятельности в форме дополнительных налоговых льгот и (или) субсидий вправе претендовать инвесторы, инвестиционные проекты которых включены в Реестр.</w:t>
      </w:r>
      <w:proofErr w:type="gramEnd"/>
    </w:p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>До</w:t>
      </w:r>
      <w:r>
        <w:rPr>
          <w:rFonts w:ascii="PT Astra Serif" w:hAnsi="PT Astra Serif"/>
          <w:sz w:val="26"/>
          <w:szCs w:val="26"/>
        </w:rPr>
        <w:t xml:space="preserve"> принятия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Закона № 106-ОЗ процедура рассмотрения инвестиционного проекта в целях принятия решения 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о включении инвестиционного проекта в Реестр </w:t>
      </w:r>
      <w:r>
        <w:rPr>
          <w:rFonts w:ascii="PT Astra Serif" w:eastAsia="Times New Roman" w:hAnsi="PT Astra Serif"/>
          <w:sz w:val="26"/>
          <w:szCs w:val="26"/>
          <w:lang w:eastAsia="ru-RU"/>
        </w:rPr>
        <w:t>регламентировалась ч.2 ст. 8 Закона Томской области от 18.03.2003 № 29-ОЗ «О государственной поддержке инвестицио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нной деятельности в Томской области». Указанная процедура в Законе № 106-ОЗ не содержится, в </w:t>
      </w:r>
      <w:proofErr w:type="gramStart"/>
      <w:r>
        <w:rPr>
          <w:rFonts w:ascii="PT Astra Serif" w:eastAsia="Times New Roman" w:hAnsi="PT Astra Serif"/>
          <w:sz w:val="26"/>
          <w:szCs w:val="26"/>
          <w:lang w:eastAsia="ru-RU"/>
        </w:rPr>
        <w:t>связи</w:t>
      </w:r>
      <w:proofErr w:type="gram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с чем необходимо определить её в подзаконном акте, устанавливающем по</w:t>
      </w:r>
      <w:r>
        <w:rPr>
          <w:rFonts w:ascii="PT Astra Serif" w:hAnsi="PT Astra Serif" w:cs="PT Astra Serif"/>
          <w:sz w:val="26"/>
          <w:szCs w:val="26"/>
          <w:lang w:eastAsia="ru-RU"/>
        </w:rPr>
        <w:t>рядок формирования и ведения Реестра.</w:t>
      </w:r>
    </w:p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ascii="PT Astra Serif" w:hAnsi="PT Astra Serif" w:cs="PT Astra Serif"/>
          <w:sz w:val="26"/>
          <w:szCs w:val="26"/>
          <w:lang w:eastAsia="ru-RU"/>
        </w:rPr>
        <w:lastRenderedPageBreak/>
        <w:t>Кроме того, отдельные нормы, затрагивающие вопросы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 формирования Реестра содержатся в постановлении Администрации Томской области от 26.08.2014 № 308а «О Порядке рассмотрения заявления о предоставлении государственной поддержки в форме дополнительных налоговых льгот субъектам инвестиционной деятельности и 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критериях отбора инвесторов, имеющих право на получение дополнительных налоговых льгот». В </w:t>
      </w:r>
      <w:proofErr w:type="gramStart"/>
      <w:r>
        <w:rPr>
          <w:rFonts w:ascii="PT Astra Serif" w:hAnsi="PT Astra Serif" w:cs="PT Astra Serif"/>
          <w:sz w:val="26"/>
          <w:szCs w:val="26"/>
          <w:lang w:eastAsia="ru-RU"/>
        </w:rPr>
        <w:t>связи</w:t>
      </w:r>
      <w:proofErr w:type="gramEnd"/>
      <w:r>
        <w:rPr>
          <w:rFonts w:ascii="PT Astra Serif" w:hAnsi="PT Astra Serif" w:cs="PT Astra Serif"/>
          <w:sz w:val="26"/>
          <w:szCs w:val="26"/>
          <w:lang w:eastAsia="ru-RU"/>
        </w:rPr>
        <w:t xml:space="preserve"> с чем в целях повышения прозрачности процесса формирования Реестра и устранения дублирования правовых норм необходимо принятие правового акта, который будет ак</w:t>
      </w:r>
      <w:r>
        <w:rPr>
          <w:rFonts w:ascii="PT Astra Serif" w:hAnsi="PT Astra Serif" w:cs="PT Astra Serif"/>
          <w:sz w:val="26"/>
          <w:szCs w:val="26"/>
          <w:lang w:eastAsia="ru-RU"/>
        </w:rPr>
        <w:t>кумулировать ранее разрозненные части порядка формирования Реестра в одном документе.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2.2. Оценка негативных эффектов, возникающих в связи с наличием рассматриваемой проблемы:</w:t>
      </w:r>
      <w:r>
        <w:rPr>
          <w:rFonts w:ascii="PT Astra Serif" w:hAnsi="PT Astra Serif" w:cs="Times New Roman"/>
          <w:sz w:val="26"/>
          <w:szCs w:val="26"/>
        </w:rPr>
        <w:t xml:space="preserve"> невмешательство государства приведет к невозможности заключения новых инвестицио</w:t>
      </w:r>
      <w:r>
        <w:rPr>
          <w:rFonts w:ascii="PT Astra Serif" w:hAnsi="PT Astra Serif" w:cs="Times New Roman"/>
          <w:sz w:val="26"/>
          <w:szCs w:val="26"/>
        </w:rPr>
        <w:t>нных соглашений о предоставлении дополнительных налоговых льгот и невозможности проведения нового отбора инвесторов на получение субсидий в целях возмещения части затрат в рамках реализации инвестиционных проектов</w:t>
      </w:r>
      <w:r>
        <w:rPr>
          <w:rFonts w:ascii="PT Astra Serif" w:hAnsi="PT Astra Serif"/>
          <w:sz w:val="26"/>
          <w:szCs w:val="26"/>
        </w:rPr>
        <w:t>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2.3. Информация о возникновении, </w:t>
      </w:r>
      <w:r>
        <w:rPr>
          <w:rFonts w:ascii="PT Astra Serif" w:hAnsi="PT Astra Serif" w:cs="Times New Roman"/>
          <w:b/>
          <w:sz w:val="26"/>
          <w:szCs w:val="26"/>
        </w:rPr>
        <w:t>выявлении проблемы, принятых мерах, направленных на ее решение, а также затраченных ресурсах и достигнутых результатах решения проблемы:</w:t>
      </w:r>
      <w:r>
        <w:rPr>
          <w:rFonts w:ascii="PT Astra Serif" w:hAnsi="PT Astra Serif" w:cs="Times New Roman"/>
          <w:sz w:val="26"/>
          <w:szCs w:val="26"/>
        </w:rPr>
        <w:t xml:space="preserve"> указанную </w:t>
      </w:r>
      <w:proofErr w:type="gramStart"/>
      <w:r>
        <w:rPr>
          <w:rFonts w:ascii="PT Astra Serif" w:hAnsi="PT Astra Serif" w:cs="Times New Roman"/>
          <w:sz w:val="26"/>
          <w:szCs w:val="26"/>
        </w:rPr>
        <w:t>проблемы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возможно решить только путем нормативного-правового регулирования.</w:t>
      </w:r>
    </w:p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</w:rPr>
        <w:t>2.4. Причины невозможности решени</w:t>
      </w:r>
      <w:r>
        <w:rPr>
          <w:rFonts w:ascii="PT Astra Serif" w:hAnsi="PT Astra Serif"/>
          <w:b/>
          <w:sz w:val="26"/>
          <w:szCs w:val="26"/>
        </w:rPr>
        <w:t xml:space="preserve">я проблемы участниками рассматриваемых общественных отношений самостоятельно, без вмешательства органов государственной власти: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В силу ч. 2 ст. 12 Закон № 106-ОЗ порядок формирования и ведения определяется Губернатором Томской области.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2.5. Опыт решения </w:t>
      </w:r>
      <w:proofErr w:type="gramStart"/>
      <w:r>
        <w:rPr>
          <w:rFonts w:ascii="PT Astra Serif" w:hAnsi="PT Astra Serif" w:cs="Times New Roman"/>
          <w:b/>
          <w:sz w:val="26"/>
          <w:szCs w:val="26"/>
        </w:rPr>
        <w:t>аналогичных проблем</w:t>
      </w:r>
      <w:proofErr w:type="gramEnd"/>
      <w:r>
        <w:rPr>
          <w:rFonts w:ascii="PT Astra Serif" w:hAnsi="PT Astra Serif" w:cs="Times New Roman"/>
          <w:b/>
          <w:sz w:val="26"/>
          <w:szCs w:val="26"/>
        </w:rPr>
        <w:t xml:space="preserve"> в других субъектах Российской Федерации, иностранных государствах:</w:t>
      </w:r>
      <w:r>
        <w:rPr>
          <w:rFonts w:ascii="PT Astra Serif" w:hAnsi="PT Astra Serif" w:cs="Times New Roman"/>
          <w:sz w:val="26"/>
          <w:szCs w:val="26"/>
        </w:rPr>
        <w:t xml:space="preserve"> не рассматривался.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2.6. Иная информация о проблеме (при наличии):</w:t>
      </w:r>
      <w:r>
        <w:rPr>
          <w:rFonts w:ascii="PT Astra Serif" w:hAnsi="PT Astra Serif" w:cs="Times New Roman"/>
          <w:sz w:val="26"/>
          <w:szCs w:val="26"/>
        </w:rPr>
        <w:t xml:space="preserve"> отсутствует.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3. Цель предлагаемого правового регулирования.</w:t>
      </w:r>
    </w:p>
    <w:tbl>
      <w:tblPr>
        <w:tblW w:w="9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3138"/>
      </w:tblGrid>
      <w:tr w:rsidR="0040104C">
        <w:tc>
          <w:tcPr>
            <w:tcW w:w="6771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Формулировка цели (целей) предлагаемого пра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вового регулирования</w:t>
            </w:r>
          </w:p>
        </w:tc>
        <w:tc>
          <w:tcPr>
            <w:tcW w:w="3138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Сроки достижения цели (целей) предлагаемого правового регулирования</w:t>
            </w:r>
          </w:p>
        </w:tc>
      </w:tr>
      <w:tr w:rsidR="0040104C">
        <w:tc>
          <w:tcPr>
            <w:tcW w:w="6771" w:type="dxa"/>
          </w:tcPr>
          <w:p w:rsidR="00566D75" w:rsidRDefault="009461BB">
            <w:pPr>
              <w:pStyle w:val="ConsPlusNorma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Цель: определение процедуры отбора инвестиционных проектов, включаемых в Реестр инвестиционных проектов Томской области, в 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рамках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реализации которых инвесторы вправе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претендовать на предоставление мер государственной поддержки инвестиционной деятельности в форме дополнительных налоговых льгот и (или) субсидий</w:t>
            </w:r>
          </w:p>
        </w:tc>
        <w:tc>
          <w:tcPr>
            <w:tcW w:w="3138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Со дня официального опубликования правового акта</w:t>
            </w:r>
          </w:p>
        </w:tc>
      </w:tr>
    </w:tbl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Информация о периодичности мониторинга достижения целей предл</w:t>
      </w:r>
      <w:r>
        <w:rPr>
          <w:rFonts w:ascii="PT Astra Serif" w:hAnsi="PT Astra Serif" w:cs="Times New Roman"/>
          <w:sz w:val="26"/>
          <w:szCs w:val="26"/>
        </w:rPr>
        <w:t>агаемого правового регулирования: не требуется.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4. Описание предлагаемого правового регулирования и иных возможных вариантов решения проблемы.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4.1. Описание предлагаемого варианта решения проблемы и преодоления связанных с ней негативных эффектов:</w:t>
      </w:r>
      <w:r>
        <w:rPr>
          <w:rFonts w:ascii="PT Astra Serif" w:hAnsi="PT Astra Serif" w:cs="Times New Roman"/>
          <w:sz w:val="26"/>
          <w:szCs w:val="26"/>
        </w:rPr>
        <w:t xml:space="preserve"> проектом</w:t>
      </w:r>
      <w:r>
        <w:rPr>
          <w:rFonts w:ascii="PT Astra Serif" w:hAnsi="PT Astra Serif" w:cs="Times New Roman"/>
          <w:sz w:val="26"/>
          <w:szCs w:val="26"/>
        </w:rPr>
        <w:t xml:space="preserve"> постановления предлагается объединить в себе положения нескольких ранее действовавших правовых актов, фрагментарно регулировавших порядок формирования Реестра, и установить прозрачный механизм формирования и ведения Реестра. Принятие проекта постановления</w:t>
      </w:r>
      <w:r>
        <w:rPr>
          <w:rFonts w:ascii="PT Astra Serif" w:hAnsi="PT Astra Serif" w:cs="Times New Roman"/>
          <w:sz w:val="26"/>
          <w:szCs w:val="26"/>
        </w:rPr>
        <w:t xml:space="preserve"> обеспечит в дальнейшем возможность </w:t>
      </w:r>
      <w:r>
        <w:rPr>
          <w:rFonts w:ascii="PT Astra Serif" w:hAnsi="PT Astra Serif"/>
          <w:sz w:val="26"/>
          <w:szCs w:val="26"/>
        </w:rPr>
        <w:t>оказания государственной поддержки в форме субсидий</w:t>
      </w:r>
      <w:r>
        <w:rPr>
          <w:rFonts w:ascii="PT Astra Serif" w:hAnsi="PT Astra Serif" w:cs="PT Astra Serif"/>
          <w:sz w:val="26"/>
          <w:szCs w:val="26"/>
        </w:rPr>
        <w:t xml:space="preserve"> в целях возмещения части затрат в рамках реализации инвестиционных проектов</w:t>
      </w:r>
      <w:r>
        <w:rPr>
          <w:rFonts w:ascii="PT Astra Serif" w:hAnsi="PT Astra Serif"/>
          <w:sz w:val="26"/>
          <w:szCs w:val="26"/>
        </w:rPr>
        <w:t xml:space="preserve"> и предоставления дополнительных налоговых льгот </w:t>
      </w:r>
      <w:r>
        <w:rPr>
          <w:rFonts w:ascii="PT Astra Serif" w:hAnsi="PT Astra Serif" w:cs="PT Astra Serif"/>
          <w:sz w:val="26"/>
          <w:szCs w:val="26"/>
        </w:rPr>
        <w:lastRenderedPageBreak/>
        <w:t xml:space="preserve">организациям, осуществляющим инвестиционную </w:t>
      </w:r>
      <w:r>
        <w:rPr>
          <w:rFonts w:ascii="PT Astra Serif" w:hAnsi="PT Astra Serif" w:cs="PT Astra Serif"/>
          <w:sz w:val="26"/>
          <w:szCs w:val="26"/>
        </w:rPr>
        <w:t>деятельность в соответствии с инвестиционными проектами.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4.2. Описание иных вариантов решения проблемы (с указанием того, каким образом каждым из вариантов могла быть решена проблема): </w:t>
      </w:r>
      <w:r>
        <w:rPr>
          <w:rFonts w:ascii="PT Astra Serif" w:hAnsi="PT Astra Serif" w:cs="Times New Roman"/>
          <w:sz w:val="26"/>
          <w:szCs w:val="26"/>
        </w:rPr>
        <w:t>нет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4.3. Обоснование выбора предлагаемого варианта решения проблемы: </w:t>
      </w:r>
      <w:r>
        <w:rPr>
          <w:rFonts w:ascii="PT Astra Serif" w:hAnsi="PT Astra Serif" w:cs="Times New Roman"/>
          <w:sz w:val="26"/>
          <w:szCs w:val="26"/>
        </w:rPr>
        <w:t>вы</w:t>
      </w:r>
      <w:r>
        <w:rPr>
          <w:rFonts w:ascii="PT Astra Serif" w:hAnsi="PT Astra Serif" w:cs="Times New Roman"/>
          <w:sz w:val="26"/>
          <w:szCs w:val="26"/>
        </w:rPr>
        <w:t>бранный способ предлагаемого решения проблемы является единственно возможным.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4.4. Иная информация о предлагаемом варианте решения проблемы: </w:t>
      </w:r>
      <w:r>
        <w:rPr>
          <w:rFonts w:ascii="PT Astra Serif" w:hAnsi="PT Astra Serif" w:cs="Times New Roman"/>
          <w:sz w:val="26"/>
          <w:szCs w:val="26"/>
        </w:rPr>
        <w:t>отсутствует.</w:t>
      </w:r>
    </w:p>
    <w:p w:rsidR="0040104C" w:rsidRDefault="009461BB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5. Качественная характеристика и оценка численности потенциальных адресатов предлагаемого правового </w:t>
      </w:r>
      <w:r>
        <w:rPr>
          <w:rFonts w:ascii="PT Astra Serif" w:hAnsi="PT Astra Serif" w:cs="Times New Roman"/>
          <w:b/>
          <w:sz w:val="26"/>
          <w:szCs w:val="26"/>
        </w:rPr>
        <w:t>регулирования (их групп).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977"/>
      </w:tblGrid>
      <w:tr w:rsidR="0040104C">
        <w:trPr>
          <w:trHeight w:val="844"/>
        </w:trPr>
        <w:tc>
          <w:tcPr>
            <w:tcW w:w="6804" w:type="dxa"/>
          </w:tcPr>
          <w:p w:rsidR="0040104C" w:rsidRDefault="009461BB">
            <w:pPr>
              <w:pStyle w:val="Default"/>
              <w:tabs>
                <w:tab w:val="left" w:pos="743"/>
              </w:tabs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Группы потенциальных адресатов предлагаемого правового регулирования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(краткое описание их качественных характеристик) </w:t>
            </w:r>
          </w:p>
        </w:tc>
        <w:tc>
          <w:tcPr>
            <w:tcW w:w="2977" w:type="dxa"/>
          </w:tcPr>
          <w:p w:rsidR="0040104C" w:rsidRDefault="009461BB">
            <w:pPr>
              <w:tabs>
                <w:tab w:val="left" w:pos="743"/>
              </w:tabs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Оценка количества участников отношений</w:t>
            </w:r>
          </w:p>
        </w:tc>
      </w:tr>
      <w:tr w:rsidR="0040104C">
        <w:trPr>
          <w:trHeight w:val="594"/>
        </w:trPr>
        <w:tc>
          <w:tcPr>
            <w:tcW w:w="6804" w:type="dxa"/>
          </w:tcPr>
          <w:p w:rsidR="0040104C" w:rsidRDefault="009461BB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(Группа 1) Инвесторы, инвестиционные проекты которых включены в Реестр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до принятия Закона № 106- ОЗ</w:t>
            </w:r>
          </w:p>
        </w:tc>
        <w:tc>
          <w:tcPr>
            <w:tcW w:w="2977" w:type="dxa"/>
          </w:tcPr>
          <w:p w:rsidR="0040104C" w:rsidRDefault="009461B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>
              <w:rPr>
                <w:rFonts w:ascii="PT Astra Serif" w:hAnsi="PT Astra Serif"/>
                <w:iCs/>
                <w:sz w:val="26"/>
                <w:szCs w:val="26"/>
              </w:rPr>
              <w:t>22</w:t>
            </w:r>
          </w:p>
        </w:tc>
      </w:tr>
      <w:tr w:rsidR="0040104C">
        <w:trPr>
          <w:trHeight w:val="268"/>
        </w:trPr>
        <w:tc>
          <w:tcPr>
            <w:tcW w:w="6804" w:type="dxa"/>
          </w:tcPr>
          <w:p w:rsidR="0040104C" w:rsidRDefault="009461BB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(Группа 2) Инвесторы, планирующие включить реализуемый инвестиционный проект в Реестр</w:t>
            </w:r>
          </w:p>
        </w:tc>
        <w:tc>
          <w:tcPr>
            <w:tcW w:w="2977" w:type="dxa"/>
          </w:tcPr>
          <w:p w:rsidR="0040104C" w:rsidRDefault="009461B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>
              <w:rPr>
                <w:rFonts w:ascii="PT Astra Serif" w:hAnsi="PT Astra Serif"/>
                <w:iCs/>
                <w:sz w:val="26"/>
                <w:szCs w:val="26"/>
              </w:rPr>
              <w:t>13</w:t>
            </w:r>
          </w:p>
          <w:p w:rsidR="0040104C" w:rsidRDefault="009461B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>
              <w:rPr>
                <w:rFonts w:ascii="PT Astra Serif" w:hAnsi="PT Astra Serif"/>
                <w:iCs/>
                <w:sz w:val="26"/>
                <w:szCs w:val="26"/>
              </w:rPr>
              <w:t>(за период 2026-2028гг.)</w:t>
            </w:r>
          </w:p>
        </w:tc>
      </w:tr>
    </w:tbl>
    <w:p w:rsidR="0040104C" w:rsidRDefault="009461BB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</w:rPr>
        <w:t xml:space="preserve">6. Новые функции, полномочия, обязанности и права органов государственной власти Томской области или сведения об их изменении, а также порядок их реализации: </w:t>
      </w:r>
      <w:r>
        <w:rPr>
          <w:rFonts w:ascii="PT Astra Serif" w:hAnsi="PT Astra Serif"/>
          <w:sz w:val="26"/>
          <w:szCs w:val="26"/>
        </w:rPr>
        <w:t>принятие проекта постановления не меняет обязанностей Департамента как уполномоченного органа по ф</w:t>
      </w:r>
      <w:r>
        <w:rPr>
          <w:rFonts w:ascii="PT Astra Serif" w:hAnsi="PT Astra Serif"/>
          <w:sz w:val="26"/>
          <w:szCs w:val="26"/>
        </w:rPr>
        <w:t xml:space="preserve">ормированию и ведению Реестра. В проекте постановления предлагается </w:t>
      </w:r>
      <w:proofErr w:type="gramStart"/>
      <w:r>
        <w:rPr>
          <w:rFonts w:ascii="PT Astra Serif" w:hAnsi="PT Astra Serif"/>
          <w:sz w:val="26"/>
          <w:szCs w:val="26"/>
        </w:rPr>
        <w:t xml:space="preserve">учесть и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объедин</w:t>
      </w:r>
      <w:r>
        <w:rPr>
          <w:rFonts w:ascii="PT Astra Serif" w:hAnsi="PT Astra Serif"/>
          <w:sz w:val="26"/>
          <w:szCs w:val="26"/>
        </w:rPr>
        <w:t>и</w:t>
      </w:r>
      <w:r>
        <w:rPr>
          <w:rFonts w:ascii="PT Astra Serif" w:eastAsia="Times New Roman" w:hAnsi="PT Astra Serif"/>
          <w:sz w:val="26"/>
          <w:szCs w:val="26"/>
          <w:lang w:eastAsia="ru-RU"/>
        </w:rPr>
        <w:t>ть</w:t>
      </w:r>
      <w:proofErr w:type="gram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в одном правовом акте положения нескольких ранее действовавших </w:t>
      </w:r>
      <w:r>
        <w:rPr>
          <w:rFonts w:ascii="PT Astra Serif" w:hAnsi="PT Astra Serif"/>
          <w:sz w:val="26"/>
          <w:szCs w:val="26"/>
        </w:rPr>
        <w:t>актов</w:t>
      </w:r>
      <w:r>
        <w:rPr>
          <w:rFonts w:ascii="PT Astra Serif" w:eastAsia="Times New Roman" w:hAnsi="PT Astra Serif"/>
          <w:sz w:val="26"/>
          <w:szCs w:val="26"/>
          <w:lang w:eastAsia="ru-RU"/>
        </w:rPr>
        <w:t>, фрагментарно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регулировавших </w:t>
      </w:r>
      <w:r>
        <w:rPr>
          <w:rFonts w:ascii="PT Astra Serif" w:hAnsi="PT Astra Serif"/>
          <w:sz w:val="26"/>
          <w:szCs w:val="26"/>
        </w:rPr>
        <w:t>порядок формирования Реестра (Закон № 29-ОЗ, Порядок № 260а (ред. от 0</w:t>
      </w:r>
      <w:r>
        <w:rPr>
          <w:rFonts w:ascii="PT Astra Serif" w:hAnsi="PT Astra Serif"/>
          <w:sz w:val="26"/>
          <w:szCs w:val="26"/>
        </w:rPr>
        <w:t>5.07.2023), Порядок № 308а).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7. Оценка расходов областного бюджета (возможных поступлений), связанных с введением предлагаемого правового регулирования:</w:t>
      </w:r>
      <w:r>
        <w:rPr>
          <w:rFonts w:ascii="PT Astra Serif" w:hAnsi="PT Astra Serif" w:cs="Times New Roman"/>
          <w:sz w:val="26"/>
          <w:szCs w:val="26"/>
        </w:rPr>
        <w:t xml:space="preserve"> принятие проекта акта не приведет к дополнительным расходам областного бюджета.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8. Новые или изменяющие</w:t>
      </w:r>
      <w:r>
        <w:rPr>
          <w:rFonts w:ascii="PT Astra Serif" w:hAnsi="PT Astra Serif" w:cs="Times New Roman"/>
          <w:b/>
          <w:sz w:val="26"/>
          <w:szCs w:val="26"/>
        </w:rPr>
        <w:t xml:space="preserve"> ранее предусмотренные нормативными правовыми актами Томской области обязательные требования, обязанности, запреты и ограничения для субъектов предпринимательской и иной экономической деятельности, а также устанавливающие или изменяющие ранее установленную</w:t>
      </w:r>
      <w:r>
        <w:rPr>
          <w:rFonts w:ascii="PT Astra Serif" w:hAnsi="PT Astra Serif" w:cs="Times New Roman"/>
          <w:b/>
          <w:sz w:val="26"/>
          <w:szCs w:val="26"/>
        </w:rPr>
        <w:t xml:space="preserve"> ответственность за нарушение нормативных правовых актов Томской области, затрагивающих вопросы осуществления предпринимательской и иной экономической деятельности.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528"/>
      </w:tblGrid>
      <w:tr w:rsidR="0040104C">
        <w:trPr>
          <w:tblHeader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04C" w:rsidRDefault="009461BB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>Описание новых обязательных требований, обязанностей, запретов, ограничений, ответственност</w:t>
            </w:r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 xml:space="preserve">и или изменение существующих обязательных требований, обязанностей, запретов, ограничений, ответственности, вводимые предлагаемым правовым регулированием </w:t>
            </w:r>
            <w:proofErr w:type="gram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04C" w:rsidRDefault="009461BB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>Количественная оценка возможных расходов и доходов, связанных с введением предлагаемого правового рег</w:t>
            </w:r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 xml:space="preserve">улирования </w:t>
            </w:r>
          </w:p>
        </w:tc>
      </w:tr>
      <w:tr w:rsidR="0040104C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4C" w:rsidRDefault="009461BB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Представление в Департамент документов для участия в отборе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4C" w:rsidRDefault="009461BB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Номинальная среднемесячная начисленная заработная плата (без выплат социального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 xml:space="preserve">характера) в целом по Томской области в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январе-декабрь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2025 года составила 85 829,4 рублей.</w:t>
            </w:r>
          </w:p>
          <w:p w:rsidR="0040104C" w:rsidRDefault="009461BB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Средняя нор</w:t>
            </w:r>
            <w:r>
              <w:rPr>
                <w:rFonts w:ascii="PT Astra Serif" w:hAnsi="PT Astra Serif"/>
                <w:sz w:val="26"/>
                <w:szCs w:val="26"/>
              </w:rPr>
              <w:t>ма рабочего времени</w:t>
            </w:r>
            <w:r>
              <w:rPr>
                <w:rFonts w:ascii="PT Astra Serif" w:hAnsi="PT Astra Serif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/>
                <w:sz w:val="26"/>
                <w:szCs w:val="26"/>
              </w:rPr>
              <w:t>при 40-часовой рабочей неделе в месяц составляет 168 часов.</w:t>
            </w:r>
          </w:p>
          <w:p w:rsidR="0040104C" w:rsidRDefault="009461BB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 подготовку и представление документов для участия в отборе достаточно затратить в среднем</w:t>
            </w:r>
            <w:r>
              <w:rPr>
                <w:rFonts w:ascii="PT Astra Serif" w:hAnsi="PT Astra Serif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/>
                <w:sz w:val="26"/>
                <w:szCs w:val="26"/>
              </w:rPr>
              <w:t>8 человеко-часов.</w:t>
            </w:r>
          </w:p>
          <w:p w:rsidR="0040104C" w:rsidRDefault="009461BB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Затраты на оплату 1 человеко-часа составят: 85 829,4 руб. / 168 </w:t>
            </w:r>
            <w:r>
              <w:rPr>
                <w:rFonts w:ascii="PT Astra Serif" w:hAnsi="PT Astra Serif"/>
                <w:sz w:val="26"/>
                <w:szCs w:val="26"/>
              </w:rPr>
              <w:t>человеко-часа = 510,89 руб. Страховые взносы работодателя (30% ФОТ) составят: 510,89 руб. х 0,3 = 153,27 рублей. С учетом страховых взносов работодателя затраты на оплату 1 человеко-часа составят: 510,89 руб. + 153,27 руб. = 664,16 руб. Частота действий по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выполнению требования: единовременное выполнение. Размер издержек составит: 8 часов х 664,16 руб. = 5 313,28 руб.</w:t>
            </w:r>
          </w:p>
          <w:p w:rsidR="0040104C" w:rsidRDefault="009461BB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Таким образом, информационные издержки, связанные с подготовкой</w:t>
            </w:r>
            <w:r>
              <w:rPr>
                <w:rFonts w:ascii="PT Astra Serif" w:hAnsi="PT Astra Serif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/>
                <w:sz w:val="26"/>
                <w:szCs w:val="26"/>
              </w:rPr>
              <w:t>и представлением документов</w:t>
            </w:r>
            <w:r>
              <w:rPr>
                <w:rFonts w:ascii="PT Astra Serif" w:hAnsi="PT Astra Serif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/>
                <w:sz w:val="26"/>
                <w:szCs w:val="26"/>
              </w:rPr>
              <w:t>для участия в отборе, ориентировочно составят 5 3</w:t>
            </w:r>
            <w:r>
              <w:rPr>
                <w:rFonts w:ascii="PT Astra Serif" w:hAnsi="PT Astra Serif"/>
                <w:sz w:val="26"/>
                <w:szCs w:val="26"/>
              </w:rPr>
              <w:t>13,28 рублей.</w:t>
            </w:r>
          </w:p>
        </w:tc>
      </w:tr>
    </w:tbl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Выгода Группы 1: возможность актуализации сведений об инвестиционных проектах, включенных в Реестр.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Выгода Группы 2: возможность получить право на предоставление мер государственной поддержки инвестиционной деятельности в форме </w:t>
      </w:r>
      <w:r>
        <w:rPr>
          <w:rFonts w:ascii="PT Astra Serif" w:hAnsi="PT Astra Serif" w:cs="Times New Roman"/>
          <w:sz w:val="26"/>
          <w:szCs w:val="26"/>
        </w:rPr>
        <w:t>дополнительных налоговых льгот и (или) субсидий.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Издержки и выгоды субъектов предпринимательской и иной экономической деятельности, а также иных адресатов предлагаемого правового регулирования, не поддающиеся количественной оценке: издержки не выявлены.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9.</w:t>
      </w:r>
      <w:r>
        <w:rPr>
          <w:rFonts w:ascii="PT Astra Serif" w:hAnsi="PT Astra Serif" w:cs="Times New Roman"/>
          <w:b/>
          <w:sz w:val="26"/>
          <w:szCs w:val="26"/>
        </w:rPr>
        <w:t> Риски решения проблемы предложенным вариантом решения проблемы и риски негативных последствий:</w:t>
      </w:r>
      <w:r>
        <w:rPr>
          <w:rFonts w:ascii="PT Astra Serif" w:hAnsi="PT Astra Serif" w:cs="Times New Roman"/>
          <w:sz w:val="26"/>
          <w:szCs w:val="26"/>
        </w:rPr>
        <w:t xml:space="preserve"> риски невозможности исполнения нормативного правового акта и наступления непредвиденных негативных последствий в связи с его принятием отсутствуют.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10. Определе</w:t>
      </w:r>
      <w:r>
        <w:rPr>
          <w:rFonts w:ascii="PT Astra Serif" w:hAnsi="PT Astra Serif" w:cs="Times New Roman"/>
          <w:b/>
          <w:sz w:val="26"/>
          <w:szCs w:val="26"/>
        </w:rPr>
        <w:t xml:space="preserve">ние индикаторов для оценки достижения цели (целей) </w:t>
      </w:r>
      <w:r>
        <w:rPr>
          <w:rFonts w:ascii="PT Astra Serif" w:hAnsi="PT Astra Serif" w:cs="Times New Roman"/>
          <w:b/>
          <w:sz w:val="26"/>
          <w:szCs w:val="26"/>
        </w:rPr>
        <w:lastRenderedPageBreak/>
        <w:t>предполагаемого правового регулирования</w:t>
      </w:r>
      <w:r>
        <w:rPr>
          <w:rFonts w:ascii="PT Astra Serif" w:hAnsi="PT Astra Serif" w:cs="Times New Roman"/>
          <w:sz w:val="26"/>
          <w:szCs w:val="26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2126"/>
        <w:gridCol w:w="1634"/>
        <w:gridCol w:w="1969"/>
        <w:gridCol w:w="1634"/>
      </w:tblGrid>
      <w:tr w:rsidR="0040104C">
        <w:tc>
          <w:tcPr>
            <w:tcW w:w="2801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Цель предлагаемого правового регулирования</w:t>
            </w:r>
          </w:p>
        </w:tc>
        <w:tc>
          <w:tcPr>
            <w:tcW w:w="2126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Индикаторы достижения цели (целей) предлагаемого правового регулирования</w:t>
            </w:r>
          </w:p>
        </w:tc>
        <w:tc>
          <w:tcPr>
            <w:tcW w:w="1634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Единица измерения индикаторов</w:t>
            </w:r>
          </w:p>
        </w:tc>
        <w:tc>
          <w:tcPr>
            <w:tcW w:w="1969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Текущее значение 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ндикаторов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br w:type="textWrapping" w:clear="all"/>
            </w:r>
            <w:r>
              <w:rPr>
                <w:rFonts w:ascii="PT Astra Serif" w:hAnsi="PT Astra Serif" w:cs="Times New Roman"/>
                <w:sz w:val="26"/>
                <w:szCs w:val="26"/>
              </w:rPr>
              <w:t>(до введения предлагаемого правового регулирования)</w:t>
            </w:r>
          </w:p>
        </w:tc>
        <w:tc>
          <w:tcPr>
            <w:tcW w:w="1634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Целевые значения индикаторов</w:t>
            </w:r>
          </w:p>
        </w:tc>
      </w:tr>
      <w:tr w:rsidR="0040104C">
        <w:tc>
          <w:tcPr>
            <w:tcW w:w="2801" w:type="dxa"/>
          </w:tcPr>
          <w:p w:rsidR="0040104C" w:rsidRDefault="009461B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Определение процедуры отбора инвестиционных проектов, включаемых в Реестр инвестиционных проектов Томской области, в 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рамках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реализации которых инвесторы вправе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претендовать на предоставление мер государственной поддержки инвестиционной деятельности в форме дополнительных налоговых льгот и (или) субсидий</w:t>
            </w:r>
          </w:p>
        </w:tc>
        <w:tc>
          <w:tcPr>
            <w:tcW w:w="2126" w:type="dxa"/>
          </w:tcPr>
          <w:p w:rsidR="0040104C" w:rsidRDefault="009461BB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Количество новых инвестиционных проектов, включенных в Реестр</w:t>
            </w:r>
          </w:p>
        </w:tc>
        <w:tc>
          <w:tcPr>
            <w:tcW w:w="1634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Единицы (шт.)</w:t>
            </w:r>
          </w:p>
        </w:tc>
        <w:tc>
          <w:tcPr>
            <w:tcW w:w="1969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- 0</w:t>
            </w:r>
          </w:p>
        </w:tc>
        <w:tc>
          <w:tcPr>
            <w:tcW w:w="1634" w:type="dxa"/>
          </w:tcPr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2,</w:t>
            </w:r>
          </w:p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2027 год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-5,</w:t>
            </w:r>
          </w:p>
          <w:p w:rsidR="0040104C" w:rsidRDefault="009461BB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2028 год - 6</w:t>
            </w:r>
          </w:p>
        </w:tc>
      </w:tr>
    </w:tbl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11. Сведения, касающиеся оценки воздействия правового регулирования на состояние конкуренции:</w:t>
      </w:r>
      <w:r>
        <w:rPr>
          <w:rFonts w:ascii="PT Astra Serif" w:hAnsi="PT Astra Serif" w:cs="Times New Roman"/>
          <w:sz w:val="26"/>
          <w:szCs w:val="26"/>
        </w:rPr>
        <w:t xml:space="preserve"> принятие правового акта не повлияет на конкурентную среду.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12. Предполагаемая дата вступления в силу нормативного правового акта Томской област</w:t>
      </w:r>
      <w:r>
        <w:rPr>
          <w:rFonts w:ascii="PT Astra Serif" w:hAnsi="PT Astra Serif" w:cs="Times New Roman"/>
          <w:b/>
          <w:sz w:val="26"/>
          <w:szCs w:val="26"/>
        </w:rPr>
        <w:t>и, необходимость установления переходного периода и (или) отсрочки вступления в силу нормативного правового акта Томской области либо необходимость распространения предлагаемого правового регулирования на ранее возникшие отношения.</w:t>
      </w:r>
    </w:p>
    <w:p w:rsidR="0040104C" w:rsidRDefault="009461BB">
      <w:pPr>
        <w:pStyle w:val="ConsPlusNormal"/>
        <w:ind w:firstLine="709"/>
        <w:jc w:val="both"/>
        <w:rPr>
          <w:highlight w:val="yellow"/>
        </w:rPr>
      </w:pPr>
      <w:r>
        <w:rPr>
          <w:rFonts w:ascii="PT Astra Serif" w:hAnsi="PT Astra Serif" w:cs="Times New Roman"/>
          <w:b/>
          <w:sz w:val="26"/>
          <w:szCs w:val="26"/>
        </w:rPr>
        <w:t>12.1. Предполагаемая</w:t>
      </w:r>
      <w: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 xml:space="preserve">дата вступления в силу нормативного правового акта Томской области: </w:t>
      </w:r>
      <w:r>
        <w:rPr>
          <w:rFonts w:ascii="PT Astra Serif" w:hAnsi="PT Astra Serif" w:cs="Times New Roman"/>
          <w:sz w:val="26"/>
          <w:szCs w:val="26"/>
        </w:rPr>
        <w:t>1 августа 2026 года.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12.2. Необходимость установления переходного периода и (или) отсрочки вступления в силу нормативного правового акта Томской области:</w:t>
      </w:r>
      <w:r>
        <w:rPr>
          <w:rFonts w:ascii="PT Astra Serif" w:hAnsi="PT Astra Serif" w:cs="Times New Roman"/>
          <w:sz w:val="26"/>
          <w:szCs w:val="26"/>
        </w:rPr>
        <w:t xml:space="preserve"> нет.</w:t>
      </w:r>
    </w:p>
    <w:p w:rsidR="0040104C" w:rsidRDefault="009461B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12.3. Необходимость распростр</w:t>
      </w:r>
      <w:r>
        <w:rPr>
          <w:rFonts w:ascii="PT Astra Serif" w:hAnsi="PT Astra Serif" w:cs="Times New Roman"/>
          <w:b/>
          <w:sz w:val="26"/>
          <w:szCs w:val="26"/>
        </w:rPr>
        <w:t>анения предлагаемого правового регулирования на ранее возникшие отношения:</w:t>
      </w:r>
      <w:r>
        <w:rPr>
          <w:rFonts w:ascii="PT Astra Serif" w:hAnsi="PT Astra Serif" w:cs="Times New Roman"/>
          <w:sz w:val="26"/>
          <w:szCs w:val="26"/>
        </w:rPr>
        <w:t xml:space="preserve"> нет.</w:t>
      </w:r>
    </w:p>
    <w:p w:rsidR="0040104C" w:rsidRDefault="0040104C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0104C" w:rsidRDefault="0040104C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643"/>
      </w:tblGrid>
      <w:tr w:rsidR="0040104C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0104C" w:rsidRDefault="009461BB">
            <w:pPr>
              <w:tabs>
                <w:tab w:val="left" w:pos="851"/>
              </w:tabs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Начальник Департамента инвестиционной 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br w:type="textWrapping" w:clear="all"/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и промышленной политики Томской области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0104C" w:rsidRDefault="0040104C">
            <w:pPr>
              <w:tabs>
                <w:tab w:val="left" w:pos="851"/>
              </w:tabs>
              <w:spacing w:after="0" w:line="240" w:lineRule="auto"/>
              <w:jc w:val="right"/>
              <w:rPr>
                <w:rFonts w:ascii="PT Astra Serif" w:eastAsia="Times New Roman" w:hAnsi="PT Astra Serif"/>
                <w:sz w:val="26"/>
                <w:szCs w:val="26"/>
              </w:rPr>
            </w:pPr>
          </w:p>
          <w:p w:rsidR="0040104C" w:rsidRDefault="009461BB">
            <w:pPr>
              <w:tabs>
                <w:tab w:val="left" w:pos="851"/>
              </w:tabs>
              <w:spacing w:after="0" w:line="240" w:lineRule="auto"/>
              <w:jc w:val="right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Г.А. Бородулин</w:t>
            </w:r>
          </w:p>
        </w:tc>
      </w:tr>
    </w:tbl>
    <w:p w:rsidR="0040104C" w:rsidRDefault="0040104C">
      <w:pPr>
        <w:pStyle w:val="ConsPlusNormal"/>
        <w:ind w:firstLine="709"/>
        <w:jc w:val="both"/>
      </w:pPr>
    </w:p>
    <w:p w:rsidR="0040104C" w:rsidRDefault="0040104C">
      <w:pPr>
        <w:pStyle w:val="ConsPlusNormal"/>
        <w:ind w:firstLine="709"/>
        <w:jc w:val="both"/>
        <w:rPr>
          <w:rFonts w:ascii="PT Astra Serif" w:hAnsi="PT Astra Serif"/>
          <w:szCs w:val="22"/>
        </w:rPr>
      </w:pPr>
    </w:p>
    <w:p w:rsidR="0040104C" w:rsidRDefault="0040104C">
      <w:pPr>
        <w:pStyle w:val="ConsPlusNormal"/>
        <w:jc w:val="both"/>
        <w:rPr>
          <w:rFonts w:ascii="PT Astra Serif" w:hAnsi="PT Astra Serif"/>
          <w:szCs w:val="22"/>
        </w:rPr>
      </w:pPr>
    </w:p>
    <w:p w:rsidR="0040104C" w:rsidRDefault="009461BB">
      <w:pPr>
        <w:pStyle w:val="ConsPlusNormal"/>
        <w:jc w:val="both"/>
        <w:rPr>
          <w:rFonts w:ascii="PT Astra Serif" w:hAnsi="PT Astra Serif"/>
          <w:szCs w:val="22"/>
        </w:rPr>
      </w:pPr>
      <w:r>
        <w:rPr>
          <w:rFonts w:ascii="PT Astra Serif" w:hAnsi="PT Astra Serif"/>
          <w:szCs w:val="22"/>
        </w:rPr>
        <w:t>Исп. Осокина Д.С.</w:t>
      </w:r>
    </w:p>
    <w:sectPr w:rsidR="0040104C">
      <w:headerReference w:type="default" r:id="rId8"/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1BB" w:rsidRDefault="009461BB">
      <w:pPr>
        <w:spacing w:after="0" w:line="240" w:lineRule="auto"/>
      </w:pPr>
      <w:r>
        <w:separator/>
      </w:r>
    </w:p>
  </w:endnote>
  <w:endnote w:type="continuationSeparator" w:id="0">
    <w:p w:rsidR="009461BB" w:rsidRDefault="0094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1BB" w:rsidRDefault="009461BB">
      <w:pPr>
        <w:spacing w:after="0" w:line="240" w:lineRule="auto"/>
      </w:pPr>
      <w:r>
        <w:separator/>
      </w:r>
    </w:p>
  </w:footnote>
  <w:footnote w:type="continuationSeparator" w:id="0">
    <w:p w:rsidR="009461BB" w:rsidRDefault="0094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04C" w:rsidRDefault="009461BB">
    <w:pPr>
      <w:pStyle w:val="1a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  <w:fldChar w:fldCharType="begin"/>
    </w:r>
    <w:r>
      <w:rPr>
        <w:rFonts w:ascii="PT Astra Serif" w:hAnsi="PT Astra Serif"/>
        <w:sz w:val="26"/>
        <w:szCs w:val="26"/>
      </w:rPr>
      <w:instrText>PAGE   \* MERGEFORMAT</w:instrText>
    </w:r>
    <w:r>
      <w:rPr>
        <w:rFonts w:ascii="PT Astra Serif" w:hAnsi="PT Astra Serif"/>
        <w:sz w:val="26"/>
        <w:szCs w:val="26"/>
      </w:rPr>
      <w:fldChar w:fldCharType="separate"/>
    </w:r>
    <w:r w:rsidR="00566D75">
      <w:rPr>
        <w:rFonts w:ascii="PT Astra Serif" w:hAnsi="PT Astra Serif"/>
        <w:noProof/>
        <w:sz w:val="26"/>
        <w:szCs w:val="26"/>
      </w:rPr>
      <w:t>2</w:t>
    </w:r>
    <w:r>
      <w:rPr>
        <w:rFonts w:ascii="PT Astra Serif" w:hAnsi="PT Astra Serif"/>
        <w:sz w:val="26"/>
        <w:szCs w:val="26"/>
      </w:rPr>
      <w:fldChar w:fldCharType="end"/>
    </w:r>
  </w:p>
  <w:p w:rsidR="0040104C" w:rsidRDefault="0040104C">
    <w:pPr>
      <w:pStyle w:val="1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F686"/>
    <w:multiLevelType w:val="multilevel"/>
    <w:tmpl w:val="4BF67D70"/>
    <w:lvl w:ilvl="0">
      <w:start w:val="1"/>
      <w:numFmt w:val="decimal"/>
      <w:lvlText w:val="%1."/>
      <w:lvlJc w:val="left"/>
      <w:pPr>
        <w:ind w:left="6031" w:hanging="360"/>
      </w:pPr>
    </w:lvl>
    <w:lvl w:ilvl="1">
      <w:start w:val="1"/>
      <w:numFmt w:val="decimal"/>
      <w:lvlText w:val="%2."/>
      <w:lvlJc w:val="left"/>
      <w:pPr>
        <w:ind w:left="6675" w:hanging="720"/>
      </w:pPr>
      <w:rPr>
        <w:rFonts w:ascii="PT Astra Serif" w:eastAsia="Calibri" w:hAnsi="PT Astra Serif" w:cs="Times New Roman"/>
      </w:rPr>
    </w:lvl>
    <w:lvl w:ilvl="2">
      <w:start w:val="1"/>
      <w:numFmt w:val="decimal"/>
      <w:lvlText w:val="%1.%2.%3."/>
      <w:lvlJc w:val="left"/>
      <w:pPr>
        <w:ind w:left="6391" w:hanging="720"/>
      </w:pPr>
    </w:lvl>
    <w:lvl w:ilvl="3">
      <w:start w:val="1"/>
      <w:numFmt w:val="decimal"/>
      <w:lvlText w:val="%1.%2.%3.%4."/>
      <w:lvlJc w:val="left"/>
      <w:pPr>
        <w:ind w:left="6751" w:hanging="1080"/>
      </w:pPr>
    </w:lvl>
    <w:lvl w:ilvl="4">
      <w:start w:val="1"/>
      <w:numFmt w:val="decimal"/>
      <w:lvlText w:val="%1.%2.%3.%4.%5."/>
      <w:lvlJc w:val="left"/>
      <w:pPr>
        <w:ind w:left="6751" w:hanging="1080"/>
      </w:pPr>
    </w:lvl>
    <w:lvl w:ilvl="5">
      <w:start w:val="1"/>
      <w:numFmt w:val="decimal"/>
      <w:lvlText w:val="%1.%2.%3.%4.%5.%6."/>
      <w:lvlJc w:val="left"/>
      <w:pPr>
        <w:ind w:left="7111" w:hanging="1440"/>
      </w:pPr>
    </w:lvl>
    <w:lvl w:ilvl="6">
      <w:start w:val="1"/>
      <w:numFmt w:val="decimal"/>
      <w:lvlText w:val="%1.%2.%3.%4.%5.%6.%7."/>
      <w:lvlJc w:val="left"/>
      <w:pPr>
        <w:ind w:left="7111" w:hanging="1440"/>
      </w:pPr>
    </w:lvl>
    <w:lvl w:ilvl="7">
      <w:start w:val="1"/>
      <w:numFmt w:val="decimal"/>
      <w:lvlText w:val="%1.%2.%3.%4.%5.%6.%7.%8."/>
      <w:lvlJc w:val="left"/>
      <w:pPr>
        <w:ind w:left="7471" w:hanging="1800"/>
      </w:pPr>
    </w:lvl>
    <w:lvl w:ilvl="8">
      <w:start w:val="1"/>
      <w:numFmt w:val="decimal"/>
      <w:lvlText w:val="%1.%2.%3.%4.%5.%6.%7.%8.%9."/>
      <w:lvlJc w:val="left"/>
      <w:pPr>
        <w:ind w:left="7471" w:hanging="1800"/>
      </w:pPr>
    </w:lvl>
  </w:abstractNum>
  <w:abstractNum w:abstractNumId="1">
    <w:nsid w:val="0674A829"/>
    <w:multiLevelType w:val="hybridMultilevel"/>
    <w:tmpl w:val="00000000"/>
    <w:lvl w:ilvl="0" w:tplc="A2786BE2">
      <w:start w:val="1"/>
      <w:numFmt w:val="decimal"/>
      <w:lvlText w:val="%1)"/>
      <w:lvlJc w:val="left"/>
      <w:pPr>
        <w:ind w:left="810" w:hanging="360"/>
      </w:pPr>
    </w:lvl>
    <w:lvl w:ilvl="1" w:tplc="454E2C1C">
      <w:start w:val="1"/>
      <w:numFmt w:val="lowerLetter"/>
      <w:lvlText w:val="%2."/>
      <w:lvlJc w:val="left"/>
      <w:pPr>
        <w:ind w:left="1530" w:hanging="360"/>
      </w:pPr>
    </w:lvl>
    <w:lvl w:ilvl="2" w:tplc="86447982">
      <w:start w:val="1"/>
      <w:numFmt w:val="lowerRoman"/>
      <w:lvlText w:val="%3."/>
      <w:lvlJc w:val="right"/>
      <w:pPr>
        <w:ind w:left="2250" w:hanging="180"/>
      </w:pPr>
    </w:lvl>
    <w:lvl w:ilvl="3" w:tplc="E312AF8E">
      <w:start w:val="1"/>
      <w:numFmt w:val="decimal"/>
      <w:lvlText w:val="%4."/>
      <w:lvlJc w:val="left"/>
      <w:pPr>
        <w:ind w:left="2970" w:hanging="360"/>
      </w:pPr>
    </w:lvl>
    <w:lvl w:ilvl="4" w:tplc="6CDCB394">
      <w:start w:val="1"/>
      <w:numFmt w:val="lowerLetter"/>
      <w:lvlText w:val="%5."/>
      <w:lvlJc w:val="left"/>
      <w:pPr>
        <w:ind w:left="3690" w:hanging="360"/>
      </w:pPr>
    </w:lvl>
    <w:lvl w:ilvl="5" w:tplc="C4440C68">
      <w:start w:val="1"/>
      <w:numFmt w:val="lowerRoman"/>
      <w:lvlText w:val="%6."/>
      <w:lvlJc w:val="right"/>
      <w:pPr>
        <w:ind w:left="4410" w:hanging="180"/>
      </w:pPr>
    </w:lvl>
    <w:lvl w:ilvl="6" w:tplc="60E0CE6E">
      <w:start w:val="1"/>
      <w:numFmt w:val="decimal"/>
      <w:lvlText w:val="%7."/>
      <w:lvlJc w:val="left"/>
      <w:pPr>
        <w:ind w:left="5130" w:hanging="360"/>
      </w:pPr>
    </w:lvl>
    <w:lvl w:ilvl="7" w:tplc="02DC1ADE">
      <w:start w:val="1"/>
      <w:numFmt w:val="lowerLetter"/>
      <w:lvlText w:val="%8."/>
      <w:lvlJc w:val="left"/>
      <w:pPr>
        <w:ind w:left="5850" w:hanging="360"/>
      </w:pPr>
    </w:lvl>
    <w:lvl w:ilvl="8" w:tplc="3B5C906C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EDA8F5F"/>
    <w:multiLevelType w:val="hybridMultilevel"/>
    <w:tmpl w:val="00000000"/>
    <w:lvl w:ilvl="0" w:tplc="55B0B1A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EA0EB39E">
      <w:start w:val="1"/>
      <w:numFmt w:val="lowerLetter"/>
      <w:lvlText w:val="%2."/>
      <w:lvlJc w:val="left"/>
      <w:pPr>
        <w:ind w:left="1620" w:hanging="360"/>
      </w:pPr>
    </w:lvl>
    <w:lvl w:ilvl="2" w:tplc="5A1A1394">
      <w:start w:val="1"/>
      <w:numFmt w:val="lowerRoman"/>
      <w:lvlText w:val="%3."/>
      <w:lvlJc w:val="right"/>
      <w:pPr>
        <w:ind w:left="2340" w:hanging="180"/>
      </w:pPr>
    </w:lvl>
    <w:lvl w:ilvl="3" w:tplc="80220580">
      <w:start w:val="1"/>
      <w:numFmt w:val="decimal"/>
      <w:lvlText w:val="%4."/>
      <w:lvlJc w:val="left"/>
      <w:pPr>
        <w:ind w:left="3060" w:hanging="360"/>
      </w:pPr>
    </w:lvl>
    <w:lvl w:ilvl="4" w:tplc="721626B8">
      <w:start w:val="1"/>
      <w:numFmt w:val="lowerLetter"/>
      <w:lvlText w:val="%5."/>
      <w:lvlJc w:val="left"/>
      <w:pPr>
        <w:ind w:left="3780" w:hanging="360"/>
      </w:pPr>
    </w:lvl>
    <w:lvl w:ilvl="5" w:tplc="C7E8AD84">
      <w:start w:val="1"/>
      <w:numFmt w:val="lowerRoman"/>
      <w:lvlText w:val="%6."/>
      <w:lvlJc w:val="right"/>
      <w:pPr>
        <w:ind w:left="4500" w:hanging="180"/>
      </w:pPr>
    </w:lvl>
    <w:lvl w:ilvl="6" w:tplc="16EE2268">
      <w:start w:val="1"/>
      <w:numFmt w:val="decimal"/>
      <w:lvlText w:val="%7."/>
      <w:lvlJc w:val="left"/>
      <w:pPr>
        <w:ind w:left="5220" w:hanging="360"/>
      </w:pPr>
    </w:lvl>
    <w:lvl w:ilvl="7" w:tplc="4A3E891A">
      <w:start w:val="1"/>
      <w:numFmt w:val="lowerLetter"/>
      <w:lvlText w:val="%8."/>
      <w:lvlJc w:val="left"/>
      <w:pPr>
        <w:ind w:left="5940" w:hanging="360"/>
      </w:pPr>
    </w:lvl>
    <w:lvl w:ilvl="8" w:tplc="20FE172E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57E6E21"/>
    <w:multiLevelType w:val="hybridMultilevel"/>
    <w:tmpl w:val="00000000"/>
    <w:lvl w:ilvl="0" w:tplc="158E5ECA">
      <w:start w:val="1"/>
      <w:numFmt w:val="bullet"/>
      <w:lvlText w:val="-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 w:tplc="C1E04B78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 w:tplc="CC50D5D6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 w:tplc="18F23C48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 w:tplc="EEC80E80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 w:tplc="88DAA50A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 w:tplc="F9DADCEE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 w:tplc="2A28A142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 w:tplc="F5762F8E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4">
    <w:nsid w:val="2962A611"/>
    <w:multiLevelType w:val="hybridMultilevel"/>
    <w:tmpl w:val="00000000"/>
    <w:lvl w:ilvl="0" w:tplc="97CCD77C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 w:tplc="3DD47AD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 w:tplc="D1D2253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 w:tplc="8F1CB2D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 w:tplc="B6EAD63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 w:tplc="A8E297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 w:tplc="F9A6F7A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 w:tplc="3E54797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 w:tplc="C6064FA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5">
    <w:nsid w:val="33258112"/>
    <w:multiLevelType w:val="hybridMultilevel"/>
    <w:tmpl w:val="00000000"/>
    <w:lvl w:ilvl="0" w:tplc="A71689BE">
      <w:start w:val="1"/>
      <w:numFmt w:val="decimal"/>
      <w:lvlText w:val="%1)"/>
      <w:lvlJc w:val="left"/>
      <w:pPr>
        <w:ind w:left="668" w:hanging="360"/>
      </w:pPr>
    </w:lvl>
    <w:lvl w:ilvl="1" w:tplc="E0F816F0">
      <w:start w:val="1"/>
      <w:numFmt w:val="lowerLetter"/>
      <w:lvlText w:val="%2."/>
      <w:lvlJc w:val="left"/>
      <w:pPr>
        <w:ind w:left="1388" w:hanging="360"/>
      </w:pPr>
    </w:lvl>
    <w:lvl w:ilvl="2" w:tplc="32900F2C">
      <w:start w:val="1"/>
      <w:numFmt w:val="lowerRoman"/>
      <w:lvlText w:val="%3."/>
      <w:lvlJc w:val="right"/>
      <w:pPr>
        <w:ind w:left="2108" w:hanging="180"/>
      </w:pPr>
    </w:lvl>
    <w:lvl w:ilvl="3" w:tplc="6FD259CE">
      <w:start w:val="1"/>
      <w:numFmt w:val="decimal"/>
      <w:lvlText w:val="%4."/>
      <w:lvlJc w:val="left"/>
      <w:pPr>
        <w:ind w:left="2828" w:hanging="360"/>
      </w:pPr>
    </w:lvl>
    <w:lvl w:ilvl="4" w:tplc="B45801B0">
      <w:start w:val="1"/>
      <w:numFmt w:val="lowerLetter"/>
      <w:lvlText w:val="%5."/>
      <w:lvlJc w:val="left"/>
      <w:pPr>
        <w:ind w:left="3548" w:hanging="360"/>
      </w:pPr>
    </w:lvl>
    <w:lvl w:ilvl="5" w:tplc="3E64131E">
      <w:start w:val="1"/>
      <w:numFmt w:val="lowerRoman"/>
      <w:lvlText w:val="%6."/>
      <w:lvlJc w:val="right"/>
      <w:pPr>
        <w:ind w:left="4268" w:hanging="180"/>
      </w:pPr>
    </w:lvl>
    <w:lvl w:ilvl="6" w:tplc="A3825C2E">
      <w:start w:val="1"/>
      <w:numFmt w:val="decimal"/>
      <w:lvlText w:val="%7."/>
      <w:lvlJc w:val="left"/>
      <w:pPr>
        <w:ind w:left="4988" w:hanging="360"/>
      </w:pPr>
    </w:lvl>
    <w:lvl w:ilvl="7" w:tplc="DE1678D2">
      <w:start w:val="1"/>
      <w:numFmt w:val="lowerLetter"/>
      <w:lvlText w:val="%8."/>
      <w:lvlJc w:val="left"/>
      <w:pPr>
        <w:ind w:left="5708" w:hanging="360"/>
      </w:pPr>
    </w:lvl>
    <w:lvl w:ilvl="8" w:tplc="AC4697FC">
      <w:start w:val="1"/>
      <w:numFmt w:val="lowerRoman"/>
      <w:lvlText w:val="%9."/>
      <w:lvlJc w:val="right"/>
      <w:pPr>
        <w:ind w:left="6428" w:hanging="180"/>
      </w:pPr>
    </w:lvl>
  </w:abstractNum>
  <w:abstractNum w:abstractNumId="6">
    <w:nsid w:val="3385D1B4"/>
    <w:multiLevelType w:val="hybridMultilevel"/>
    <w:tmpl w:val="00000000"/>
    <w:lvl w:ilvl="0" w:tplc="C4DA8482">
      <w:start w:val="1"/>
      <w:numFmt w:val="decimal"/>
      <w:lvlText w:val="%1."/>
      <w:lvlJc w:val="left"/>
      <w:pPr>
        <w:ind w:left="720" w:hanging="360"/>
      </w:pPr>
    </w:lvl>
    <w:lvl w:ilvl="1" w:tplc="0422DA5E">
      <w:start w:val="1"/>
      <w:numFmt w:val="lowerLetter"/>
      <w:lvlText w:val="%2."/>
      <w:lvlJc w:val="left"/>
      <w:pPr>
        <w:ind w:left="1440" w:hanging="360"/>
      </w:pPr>
    </w:lvl>
    <w:lvl w:ilvl="2" w:tplc="FAA66858">
      <w:start w:val="1"/>
      <w:numFmt w:val="lowerRoman"/>
      <w:lvlText w:val="%3."/>
      <w:lvlJc w:val="right"/>
      <w:pPr>
        <w:ind w:left="2160" w:hanging="180"/>
      </w:pPr>
    </w:lvl>
    <w:lvl w:ilvl="3" w:tplc="7EB6AD98">
      <w:start w:val="1"/>
      <w:numFmt w:val="decimal"/>
      <w:lvlText w:val="%4."/>
      <w:lvlJc w:val="left"/>
      <w:pPr>
        <w:ind w:left="2880" w:hanging="360"/>
      </w:pPr>
    </w:lvl>
    <w:lvl w:ilvl="4" w:tplc="47609326">
      <w:start w:val="1"/>
      <w:numFmt w:val="lowerLetter"/>
      <w:lvlText w:val="%5."/>
      <w:lvlJc w:val="left"/>
      <w:pPr>
        <w:ind w:left="3600" w:hanging="360"/>
      </w:pPr>
    </w:lvl>
    <w:lvl w:ilvl="5" w:tplc="BC1AB216">
      <w:start w:val="1"/>
      <w:numFmt w:val="lowerRoman"/>
      <w:lvlText w:val="%6."/>
      <w:lvlJc w:val="right"/>
      <w:pPr>
        <w:ind w:left="4320" w:hanging="180"/>
      </w:pPr>
    </w:lvl>
    <w:lvl w:ilvl="6" w:tplc="881C18E4">
      <w:start w:val="1"/>
      <w:numFmt w:val="decimal"/>
      <w:lvlText w:val="%7."/>
      <w:lvlJc w:val="left"/>
      <w:pPr>
        <w:ind w:left="5040" w:hanging="360"/>
      </w:pPr>
    </w:lvl>
    <w:lvl w:ilvl="7" w:tplc="3BF21506">
      <w:start w:val="1"/>
      <w:numFmt w:val="lowerLetter"/>
      <w:lvlText w:val="%8."/>
      <w:lvlJc w:val="left"/>
      <w:pPr>
        <w:ind w:left="5760" w:hanging="360"/>
      </w:pPr>
    </w:lvl>
    <w:lvl w:ilvl="8" w:tplc="F3E2CC9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DB011"/>
    <w:multiLevelType w:val="hybridMultilevel"/>
    <w:tmpl w:val="00000000"/>
    <w:lvl w:ilvl="0" w:tplc="40740BE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3CCE215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3F840C7C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34F6308E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1F16F73E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B9883558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CC94D72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B11C0B88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ADD0A416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>
    <w:nsid w:val="40C03611"/>
    <w:multiLevelType w:val="hybridMultilevel"/>
    <w:tmpl w:val="00000000"/>
    <w:lvl w:ilvl="0" w:tplc="26060C54">
      <w:start w:val="1"/>
      <w:numFmt w:val="decimal"/>
      <w:lvlText w:val="%1)"/>
      <w:lvlJc w:val="left"/>
      <w:pPr>
        <w:ind w:left="750" w:hanging="390"/>
      </w:pPr>
    </w:lvl>
    <w:lvl w:ilvl="1" w:tplc="68945504">
      <w:start w:val="1"/>
      <w:numFmt w:val="lowerLetter"/>
      <w:lvlText w:val="%2."/>
      <w:lvlJc w:val="left"/>
      <w:pPr>
        <w:ind w:left="1440" w:hanging="360"/>
      </w:pPr>
    </w:lvl>
    <w:lvl w:ilvl="2" w:tplc="F0E05EEE">
      <w:start w:val="1"/>
      <w:numFmt w:val="lowerRoman"/>
      <w:lvlText w:val="%3."/>
      <w:lvlJc w:val="right"/>
      <w:pPr>
        <w:ind w:left="2160" w:hanging="180"/>
      </w:pPr>
    </w:lvl>
    <w:lvl w:ilvl="3" w:tplc="43428D4A">
      <w:start w:val="1"/>
      <w:numFmt w:val="decimal"/>
      <w:lvlText w:val="%4."/>
      <w:lvlJc w:val="left"/>
      <w:pPr>
        <w:ind w:left="2880" w:hanging="360"/>
      </w:pPr>
    </w:lvl>
    <w:lvl w:ilvl="4" w:tplc="D070EE34">
      <w:start w:val="1"/>
      <w:numFmt w:val="lowerLetter"/>
      <w:lvlText w:val="%5."/>
      <w:lvlJc w:val="left"/>
      <w:pPr>
        <w:ind w:left="3600" w:hanging="360"/>
      </w:pPr>
    </w:lvl>
    <w:lvl w:ilvl="5" w:tplc="FBC8DDDA">
      <w:start w:val="1"/>
      <w:numFmt w:val="lowerRoman"/>
      <w:lvlText w:val="%6."/>
      <w:lvlJc w:val="right"/>
      <w:pPr>
        <w:ind w:left="4320" w:hanging="180"/>
      </w:pPr>
    </w:lvl>
    <w:lvl w:ilvl="6" w:tplc="AFB67DE4">
      <w:start w:val="1"/>
      <w:numFmt w:val="decimal"/>
      <w:lvlText w:val="%7."/>
      <w:lvlJc w:val="left"/>
      <w:pPr>
        <w:ind w:left="5040" w:hanging="360"/>
      </w:pPr>
    </w:lvl>
    <w:lvl w:ilvl="7" w:tplc="1A989D3C">
      <w:start w:val="1"/>
      <w:numFmt w:val="lowerLetter"/>
      <w:lvlText w:val="%8."/>
      <w:lvlJc w:val="left"/>
      <w:pPr>
        <w:ind w:left="5760" w:hanging="360"/>
      </w:pPr>
    </w:lvl>
    <w:lvl w:ilvl="8" w:tplc="B40E13B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CF501"/>
    <w:multiLevelType w:val="multilevel"/>
    <w:tmpl w:val="B420E0AA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03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07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0745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7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-30721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-2404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-17011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-10336" w:hanging="1800"/>
      </w:pPr>
      <w:rPr>
        <w:b/>
      </w:rPr>
    </w:lvl>
  </w:abstractNum>
  <w:abstractNum w:abstractNumId="10">
    <w:nsid w:val="48A43AD7"/>
    <w:multiLevelType w:val="hybridMultilevel"/>
    <w:tmpl w:val="00000000"/>
    <w:lvl w:ilvl="0" w:tplc="F8FED82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"/>
      </w:rPr>
    </w:lvl>
    <w:lvl w:ilvl="1" w:tplc="1D58FA52">
      <w:numFmt w:val="decimal"/>
      <w:lvlText w:val=""/>
      <w:lvlJc w:val="left"/>
    </w:lvl>
    <w:lvl w:ilvl="2" w:tplc="DF0C78DA">
      <w:numFmt w:val="decimal"/>
      <w:lvlText w:val=""/>
      <w:lvlJc w:val="left"/>
    </w:lvl>
    <w:lvl w:ilvl="3" w:tplc="BB369734">
      <w:numFmt w:val="decimal"/>
      <w:lvlText w:val=""/>
      <w:lvlJc w:val="left"/>
    </w:lvl>
    <w:lvl w:ilvl="4" w:tplc="1D92DC58">
      <w:numFmt w:val="decimal"/>
      <w:lvlText w:val=""/>
      <w:lvlJc w:val="left"/>
    </w:lvl>
    <w:lvl w:ilvl="5" w:tplc="C56EAC60">
      <w:numFmt w:val="decimal"/>
      <w:lvlText w:val=""/>
      <w:lvlJc w:val="left"/>
    </w:lvl>
    <w:lvl w:ilvl="6" w:tplc="70D28EB6">
      <w:numFmt w:val="decimal"/>
      <w:lvlText w:val=""/>
      <w:lvlJc w:val="left"/>
    </w:lvl>
    <w:lvl w:ilvl="7" w:tplc="536A9528">
      <w:numFmt w:val="decimal"/>
      <w:lvlText w:val=""/>
      <w:lvlJc w:val="left"/>
    </w:lvl>
    <w:lvl w:ilvl="8" w:tplc="AC827ACA">
      <w:numFmt w:val="decimal"/>
      <w:lvlText w:val=""/>
      <w:lvlJc w:val="left"/>
    </w:lvl>
  </w:abstractNum>
  <w:abstractNum w:abstractNumId="11">
    <w:nsid w:val="5116E7B7"/>
    <w:multiLevelType w:val="hybridMultilevel"/>
    <w:tmpl w:val="00000000"/>
    <w:lvl w:ilvl="0" w:tplc="ED56B69E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4AB67C1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455AE158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AB509BB4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F76CAE2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26D2ADEA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776AAEDC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C8B42BB4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E6CA8AF4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2">
    <w:nsid w:val="6FFDE37A"/>
    <w:multiLevelType w:val="hybridMultilevel"/>
    <w:tmpl w:val="00000000"/>
    <w:lvl w:ilvl="0" w:tplc="F96A18AA">
      <w:start w:val="1"/>
      <w:numFmt w:val="decimal"/>
      <w:lvlText w:val="%1)"/>
      <w:lvlJc w:val="left"/>
      <w:pPr>
        <w:ind w:left="927" w:hanging="360"/>
      </w:pPr>
    </w:lvl>
    <w:lvl w:ilvl="1" w:tplc="B66E24D4">
      <w:start w:val="1"/>
      <w:numFmt w:val="lowerLetter"/>
      <w:lvlText w:val="%2."/>
      <w:lvlJc w:val="left"/>
      <w:pPr>
        <w:ind w:left="1647" w:hanging="360"/>
      </w:pPr>
    </w:lvl>
    <w:lvl w:ilvl="2" w:tplc="651EB304">
      <w:start w:val="1"/>
      <w:numFmt w:val="lowerRoman"/>
      <w:lvlText w:val="%3."/>
      <w:lvlJc w:val="right"/>
      <w:pPr>
        <w:ind w:left="2367" w:hanging="180"/>
      </w:pPr>
    </w:lvl>
    <w:lvl w:ilvl="3" w:tplc="53207B18">
      <w:start w:val="1"/>
      <w:numFmt w:val="decimal"/>
      <w:lvlText w:val="%4."/>
      <w:lvlJc w:val="left"/>
      <w:pPr>
        <w:ind w:left="3087" w:hanging="360"/>
      </w:pPr>
    </w:lvl>
    <w:lvl w:ilvl="4" w:tplc="CBA64DBA">
      <w:start w:val="1"/>
      <w:numFmt w:val="lowerLetter"/>
      <w:lvlText w:val="%5."/>
      <w:lvlJc w:val="left"/>
      <w:pPr>
        <w:ind w:left="3807" w:hanging="360"/>
      </w:pPr>
    </w:lvl>
    <w:lvl w:ilvl="5" w:tplc="382AEC94">
      <w:start w:val="1"/>
      <w:numFmt w:val="lowerRoman"/>
      <w:lvlText w:val="%6."/>
      <w:lvlJc w:val="right"/>
      <w:pPr>
        <w:ind w:left="4527" w:hanging="180"/>
      </w:pPr>
    </w:lvl>
    <w:lvl w:ilvl="6" w:tplc="79925A80">
      <w:start w:val="1"/>
      <w:numFmt w:val="decimal"/>
      <w:lvlText w:val="%7."/>
      <w:lvlJc w:val="left"/>
      <w:pPr>
        <w:ind w:left="5247" w:hanging="360"/>
      </w:pPr>
    </w:lvl>
    <w:lvl w:ilvl="7" w:tplc="3AD21218">
      <w:start w:val="1"/>
      <w:numFmt w:val="lowerLetter"/>
      <w:lvlText w:val="%8."/>
      <w:lvlJc w:val="left"/>
      <w:pPr>
        <w:ind w:left="5967" w:hanging="360"/>
      </w:pPr>
    </w:lvl>
    <w:lvl w:ilvl="8" w:tplc="8D6A88E4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A282FFA"/>
    <w:multiLevelType w:val="hybridMultilevel"/>
    <w:tmpl w:val="00000000"/>
    <w:lvl w:ilvl="0" w:tplc="79BCC22A">
      <w:start w:val="4"/>
      <w:numFmt w:val="decimal"/>
      <w:lvlText w:val="%1)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 w:tplc="6100B62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 w:tplc="617426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 w:tplc="7A8243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 w:tplc="5E46321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 w:tplc="FDC6473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 w:tplc="8BD26D9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 w:tplc="68D4EB3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 w:tplc="80FEF89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04C"/>
    <w:rsid w:val="0040104C"/>
    <w:rsid w:val="00566D75"/>
    <w:rsid w:val="009461BB"/>
    <w:rsid w:val="00E7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rPr>
      <w:lang w:eastAsia="zh-CN"/>
    </w:rPr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210">
    <w:name w:val="Заголовок 21"/>
    <w:basedOn w:val="a"/>
    <w:next w:val="a"/>
    <w:link w:val="24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14">
    <w:name w:val="Основной шрифт абзаца1"/>
    <w:uiPriority w:val="1"/>
    <w:unhideWhenUsed/>
  </w:style>
  <w:style w:type="table" w:customStyle="1" w:styleId="15">
    <w:name w:val="Обычная таблица1"/>
    <w:uiPriority w:val="99"/>
    <w:semiHidden/>
    <w:unhideWhenUsed/>
    <w:qFormat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rFonts w:eastAsia="Times New Roman" w:cs="Calibri"/>
      <w:sz w:val="22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24">
    <w:name w:val="Заголовок 2 Знак"/>
    <w:link w:val="210"/>
    <w:rPr>
      <w:rFonts w:ascii="Times New Roman" w:eastAsia="Times New Roman" w:hAnsi="Times New Roman"/>
      <w:b/>
      <w:sz w:val="28"/>
    </w:rPr>
  </w:style>
  <w:style w:type="table" w:customStyle="1" w:styleId="17">
    <w:name w:val="Сетка таблицы1"/>
    <w:basedOn w:val="15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b">
    <w:name w:val="Обычный (веб);Обычный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8">
    <w:name w:val="Гиперссылка1"/>
    <w:uiPriority w:val="99"/>
    <w:unhideWhenUsed/>
    <w:rPr>
      <w:color w:val="0000FF"/>
      <w:u w:val="single"/>
    </w:rPr>
  </w:style>
  <w:style w:type="paragraph" w:customStyle="1" w:styleId="211">
    <w:name w:val="Основной текст с отступом 21"/>
    <w:basedOn w:val="a"/>
    <w:link w:val="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11"/>
    <w:rPr>
      <w:rFonts w:ascii="Times New Roman" w:eastAsia="Times New Roman" w:hAnsi="Times New Roman"/>
      <w:sz w:val="24"/>
      <w:szCs w:val="24"/>
    </w:rPr>
  </w:style>
  <w:style w:type="paragraph" w:customStyle="1" w:styleId="19">
    <w:name w:val="Текст выноски1"/>
    <w:basedOn w:val="a"/>
    <w:link w:val="af8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19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1a">
    <w:name w:val="Верхний колонтитул1"/>
    <w:basedOn w:val="a"/>
    <w:link w:val="af9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9">
    <w:name w:val="Верхний колонтитул Знак"/>
    <w:link w:val="1a"/>
    <w:uiPriority w:val="99"/>
    <w:rPr>
      <w:rFonts w:ascii="Times New Roman" w:eastAsia="Times New Roman" w:hAnsi="Times New Roman"/>
      <w:sz w:val="24"/>
    </w:rPr>
  </w:style>
  <w:style w:type="paragraph" w:styleId="26">
    <w:name w:val="Body Text 2"/>
    <w:basedOn w:val="a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1b">
    <w:name w:val="Нижний колонтитул1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1b"/>
    <w:uiPriority w:val="99"/>
    <w:rPr>
      <w:sz w:val="22"/>
      <w:szCs w:val="22"/>
      <w:lang w:eastAsia="en-US"/>
    </w:rPr>
  </w:style>
  <w:style w:type="paragraph" w:customStyle="1" w:styleId="afb">
    <w:name w:val="Знак"/>
    <w:basedOn w:val="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c">
    <w:name w:val="Выделение1"/>
    <w:uiPriority w:val="20"/>
    <w:qFormat/>
    <w:rPr>
      <w:i/>
      <w:iCs/>
    </w:rPr>
  </w:style>
  <w:style w:type="paragraph" w:customStyle="1" w:styleId="ConsPlusNonformat">
    <w:name w:val="ConsPlusNonformat"/>
    <w:uiPriority w:val="99"/>
    <w:pPr>
      <w:keepNext/>
      <w:widowControl w:val="0"/>
      <w:spacing w:line="100" w:lineRule="atLeast"/>
    </w:pPr>
    <w:rPr>
      <w:rFonts w:ascii="Courier New" w:eastAsia="Times New Roman" w:hAnsi="Courier New" w:cs="Courier New"/>
    </w:rPr>
  </w:style>
  <w:style w:type="paragraph" w:customStyle="1" w:styleId="1d">
    <w:name w:val="Без интервала1"/>
    <w:uiPriority w:val="1"/>
    <w:qFormat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c">
    <w:name w:val="Основной текст_"/>
    <w:link w:val="1e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e">
    <w:name w:val="Основной текст1"/>
    <w:basedOn w:val="a"/>
    <w:link w:val="afc"/>
    <w:pPr>
      <w:shd w:val="clear" w:color="auto" w:fill="FFFFFF"/>
      <w:spacing w:before="240" w:after="0" w:line="298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eastAsia="Times New Roman" w:cs="Calibri"/>
      <w:sz w:val="22"/>
    </w:rPr>
  </w:style>
  <w:style w:type="character" w:customStyle="1" w:styleId="futurisfootnotegroup">
    <w:name w:val="futurisfootnotegroup"/>
  </w:style>
  <w:style w:type="paragraph" w:customStyle="1" w:styleId="1f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="PT Astra Serif" w:hAnsi="PT Astra Seri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</dc:creator>
  <cp:lastModifiedBy>Дмитрий Вячеславович Руднев</cp:lastModifiedBy>
  <cp:revision>38</cp:revision>
  <dcterms:created xsi:type="dcterms:W3CDTF">2026-04-08T09:24:00Z</dcterms:created>
  <dcterms:modified xsi:type="dcterms:W3CDTF">2026-07-21T08:51:00Z</dcterms:modified>
  <cp:version>983040</cp:version>
</cp:coreProperties>
</file>