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7"/>
        <w:ind w:firstLine="0"/>
        <w:jc w:val="center"/>
        <w:spacing w:after="12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99897" cy="684036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99897" cy="6840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5.1pt;height:53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tabs>
          <w:tab w:val="center" w:pos="4153" w:leader="none"/>
          <w:tab w:val="right" w:pos="8306" w:leader="none"/>
        </w:tabs>
        <w:rPr>
          <w:rFonts w:ascii="PT Astra Serif" w:hAnsi="PT Astra Serif"/>
          <w:b/>
          <w:caps/>
          <w:sz w:val="28"/>
          <w:szCs w:val="28"/>
          <w:highlight w:val="none"/>
        </w:rPr>
      </w:pPr>
      <w:r>
        <w:rPr>
          <w:rFonts w:ascii="PT Astra Serif" w:hAnsi="PT Astra Serif"/>
          <w:b/>
          <w:caps/>
          <w:sz w:val="28"/>
          <w:szCs w:val="28"/>
          <w:highlight w:val="none"/>
        </w:rPr>
        <w:t xml:space="preserve">ПРАВИТЕЛЬСТВО ТОМСКОЙ ОБЛАСТИ</w:t>
      </w:r>
      <w:r>
        <w:rPr>
          <w:rFonts w:ascii="PT Astra Serif" w:hAnsi="PT Astra Serif"/>
          <w:b/>
          <w:caps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spacing w:before="240"/>
        <w:tabs>
          <w:tab w:val="center" w:pos="4153" w:leader="none"/>
          <w:tab w:val="right" w:pos="8306" w:leader="none"/>
        </w:tabs>
        <w:rPr>
          <w:rFonts w:ascii="PT Astra Serif" w:hAnsi="PT Astra Serif"/>
          <w:b/>
          <w:caps/>
          <w:spacing w:val="20"/>
          <w:sz w:val="28"/>
          <w:szCs w:val="28"/>
          <w:highlight w:val="none"/>
        </w:rPr>
      </w:pPr>
      <w:r>
        <w:rPr>
          <w:rFonts w:ascii="PT Astra Serif" w:hAnsi="PT Astra Serif"/>
          <w:b/>
          <w:caps/>
          <w:spacing w:val="20"/>
          <w:sz w:val="28"/>
          <w:szCs w:val="28"/>
          <w:highlight w:val="none"/>
        </w:rPr>
        <w:t xml:space="preserve">постановление</w:t>
      </w:r>
      <w:r>
        <w:rPr>
          <w:rFonts w:ascii="PT Astra Serif" w:hAnsi="PT Astra Serif"/>
          <w:b/>
          <w:caps/>
          <w:spacing w:val="20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                                                                                                   № _______</w:t>
      </w:r>
      <w:r>
        <w:rPr>
          <w:rFonts w:ascii="PT Astra Serif" w:hAnsi="PT Astra Serif"/>
          <w:b/>
          <w:bCs/>
          <w:sz w:val="28"/>
          <w:szCs w:val="28"/>
          <w:highlight w:val="none"/>
        </w:rPr>
      </w:r>
      <w:r/>
    </w:p>
    <w:p>
      <w:pPr>
        <w:pStyle w:val="908"/>
        <w:ind w:right="5670"/>
        <w:spacing w:before="0"/>
        <w:rPr>
          <w:rFonts w:ascii="PT Astra Serif" w:hAnsi="PT Astra Serif"/>
          <w:b/>
          <w:sz w:val="28"/>
          <w:szCs w:val="28"/>
          <w:highlight w:val="none"/>
        </w:rPr>
      </w:pPr>
      <w:r>
        <w:rPr>
          <w:rFonts w:ascii="PT Astra Serif" w:hAnsi="PT Astra Serif"/>
          <w:b/>
          <w:sz w:val="28"/>
          <w:szCs w:val="28"/>
          <w:highlight w:val="none"/>
        </w:rPr>
      </w:r>
      <w:r>
        <w:rPr>
          <w:rFonts w:ascii="PT Astra Serif" w:hAnsi="PT Astra Serif"/>
          <w:b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bCs/>
          <w:color w:val="000000"/>
          <w:sz w:val="28"/>
          <w:szCs w:val="28"/>
          <w:highlight w:val="none"/>
        </w:rPr>
        <w:t xml:space="preserve">О внесении изменений в постановление </w:t>
        <w:br w:type="textWrapping" w:clear="all"/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Администрации Томской области от 26.08.2014 № 308а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ind w:firstLine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897"/>
        <w:ind w:firstLine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соответствии с частью 5 статьи 20 Закона Томской области от 7 марта 2002 года № 9-ОЗ «О нормативных правовых актах Томской области»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ПОСТАНОВЛЯЮ: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1.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Внести в постановление Администрации Томской области от 26.08.2014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№ 308а «О Порядке рассмотрения заявления о предоставлен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ии государственной поддержки в форме дополнительных налоговых льгот субъектам инвестиционной деятельности и критериях отбора инвесторов, имеющих право на получение дополнительных налоговых льгот» (Собрание законодательства Томской области, 2014, № 9/1 (110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следующие изменения: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1) наименование изложить в следующей редакции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: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Порядке предоставления государственной поддержки в форме дополнительных налоговых льгот субъектам инвестиционной деятельности и критери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ях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отбора субъектов инвестиционной деятельности, имеющих право на получение дополнительных налоговых льгот»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преамбуле слова «Законом Томской области от 18 марта 2003 года № 29-ОЗ «О государственной поддержке инвестиционной деятельности в Томской области» заменить словами «Законом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Томской области от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10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ноября 2025 года № 106-ОЗ «Об инвестиционной политике и государственной поддержке инвестиционной деятельности в Томской области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»;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3) пункт 1 изложить в следующей редакции: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«1. Определить Порядок предоставления государствен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ной поддержки в форме дополнительных налоговых льгот субъектам инвестиционной деятельности и критерии отбора субъектов инвестиционной деятельности, имеющих право на получение дополнительных налоговых льгот, согласно приложению к настоящему постановлению.»;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4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) в пункте 4 слова «заместителя Губернатора Томской области по инвестиционной политике и имущественным отношениям» заменить словами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заместителя Председателя Правительства Томской области (по промышленности, инвестиционной политике и имущественным отношениям)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»;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jc w:val="both"/>
        <w:rPr>
          <w:rFonts w:ascii="PT Astra Serif" w:hAnsi="PT Astra Serif"/>
          <w:color w:val="000000"/>
          <w:sz w:val="28"/>
          <w:szCs w:val="28"/>
          <w:highlight w:val="none"/>
          <w14:ligatures w14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5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) </w:t>
      </w:r>
      <w:r>
        <w:rPr>
          <w:rFonts w:ascii="PT Astra Serif" w:hAnsi="PT Astra Serif"/>
          <w:sz w:val="28"/>
          <w:szCs w:val="28"/>
          <w:highlight w:val="none"/>
        </w:rPr>
        <w:t xml:space="preserve">Порядок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рассмотрения заявления о предоставлении государственной поддержки в форме дополнительных налоговых льгот субъектам инвестиционной деятельности и критерии отбора инвесторов, имеющих право на получение дополнительных налоговых льгот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(далее – Порядок)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утвержденн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ый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указанным постановлением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изложить в новой редакции согласно приложению к настоящему постановлению.</w:t>
      </w:r>
      <w:r>
        <w:rPr>
          <w:rFonts w:ascii="PT Astra Serif" w:hAnsi="PT Astra Serif"/>
          <w:color w:val="000000"/>
          <w:sz w:val="28"/>
          <w:szCs w:val="28"/>
          <w:highlight w:val="none"/>
          <w14:ligatures w14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 Настоящее постановление вступает в силу со дня его официального опубликования.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tabs>
          <w:tab w:val="left" w:pos="7088" w:leader="none"/>
        </w:tabs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jc w:val="both"/>
        <w:tabs>
          <w:tab w:val="left" w:pos="7088" w:leader="none"/>
        </w:tabs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2"/>
        <w:spacing w:before="0"/>
        <w:rPr>
          <w:rFonts w:ascii="PT Astra Serif" w:hAnsi="PT Astra Serif"/>
          <w:highlight w:val="none"/>
        </w:rPr>
      </w:pPr>
      <w:r>
        <w:rPr>
          <w:rFonts w:ascii="PT Astra Serif" w:hAnsi="PT Astra Serif"/>
          <w:szCs w:val="28"/>
          <w:highlight w:val="none"/>
        </w:rPr>
        <w:t xml:space="preserve">Председатель Правительства</w:t>
      </w:r>
      <w:r>
        <w:rPr>
          <w:rFonts w:ascii="PT Astra Serif" w:hAnsi="PT Astra Serif"/>
          <w:highlight w:val="none"/>
        </w:rPr>
      </w:r>
      <w:r/>
    </w:p>
    <w:p>
      <w:pPr>
        <w:pStyle w:val="912"/>
        <w:spacing w:before="0"/>
        <w:rPr>
          <w:rFonts w:ascii="PT Astra Serif" w:hAnsi="PT Astra Serif"/>
          <w:highlight w:val="none"/>
        </w:rPr>
      </w:pPr>
      <w:r>
        <w:rPr>
          <w:rFonts w:ascii="PT Astra Serif" w:hAnsi="PT Astra Serif"/>
          <w:szCs w:val="28"/>
          <w:highlight w:val="none"/>
        </w:rPr>
        <w:t xml:space="preserve">Томской области                                                                      </w:t>
      </w:r>
      <w:r>
        <w:rPr>
          <w:rFonts w:ascii="PT Astra Serif" w:hAnsi="PT Astra Serif"/>
          <w:szCs w:val="28"/>
          <w:highlight w:val="none"/>
        </w:rPr>
        <w:t xml:space="preserve"> </w:t>
      </w:r>
      <w:r>
        <w:rPr>
          <w:rFonts w:ascii="PT Astra Serif" w:hAnsi="PT Astra Serif"/>
          <w:szCs w:val="28"/>
          <w:highlight w:val="none"/>
        </w:rPr>
        <w:t xml:space="preserve">    А.В. Кондратьев</w:t>
      </w:r>
      <w:r>
        <w:rPr>
          <w:rFonts w:ascii="PT Astra Serif" w:hAnsi="PT Astra Serif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</w:p>
    <w:p>
      <w:pPr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2"/>
          <w:szCs w:val="22"/>
          <w:highlight w:val="none"/>
        </w:rPr>
      </w:pPr>
      <w:r>
        <w:rPr>
          <w:rFonts w:ascii="PT Astra Serif" w:hAnsi="PT Astra Serif"/>
          <w:sz w:val="22"/>
          <w:szCs w:val="22"/>
          <w:highlight w:val="none"/>
        </w:rPr>
        <w:t xml:space="preserve">Бородулин Г.А.</w:t>
      </w:r>
      <w:r>
        <w:rPr>
          <w:rFonts w:ascii="PT Astra Serif" w:hAnsi="PT Astra Serif"/>
          <w:sz w:val="22"/>
          <w:szCs w:val="22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br w:type="page" w:clear="all"/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Приложение № 1 к постановлению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Правительства Томской области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от _______ __.202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6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№ _____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</w:r>
      <w:r>
        <w:rPr>
          <w:rFonts w:ascii="PT Astra Serif" w:hAnsi="PT Astra Serif" w:cs="Courier New"/>
          <w:sz w:val="28"/>
          <w:szCs w:val="28"/>
          <w:highlight w:val="none"/>
        </w:rPr>
      </w:r>
    </w:p>
    <w:p>
      <w:pPr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Определен постановлением Администрации Томской области </w:t>
      </w:r>
      <w:r>
        <w:rPr>
          <w:rFonts w:ascii="PT Astra Serif" w:hAnsi="PT Astra Serif" w:cs="Courier New"/>
          <w:sz w:val="28"/>
          <w:szCs w:val="28"/>
          <w:highlight w:val="none"/>
        </w:rPr>
      </w:r>
    </w:p>
    <w:p>
      <w:pPr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от 26.08.2014 № 308а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5387" w:firstLine="0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bCs/>
          <w:color w:val="000000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орядок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предоставления государственной поддержки в форме дополнительных налоговых льгот субъектам инвестиционной деятельности и критери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отбора субъектов инвестиционной деятельности, имеющих право на получение дополнительных налоговых льгот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1. Настоящий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орядок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регламентирует процедуру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предоставления государственной поддержки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в форме дополнительных налоговых льгот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соответствии с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fldChar w:fldCharType="begin"/>
      </w:r>
      <w:r>
        <w:rPr>
          <w:rFonts w:ascii="PT Astra Serif" w:hAnsi="PT Astra Serif"/>
          <w:color w:val="000000"/>
          <w:sz w:val="28"/>
          <w:szCs w:val="28"/>
          <w:highlight w:val="none"/>
        </w:rPr>
        <w:instrText xml:space="preserve">HYPERLINK https://login.consultant.ru/link/?req=doc&amp;base=RLAW091&amp;n=192747&amp;dst=100075 </w:instrText>
      </w:r>
      <w:r>
        <w:rPr>
          <w:rFonts w:ascii="PT Astra Serif" w:hAnsi="PT Astra Serif"/>
          <w:color w:val="000000"/>
          <w:sz w:val="28"/>
          <w:szCs w:val="28"/>
          <w:highlight w:val="none"/>
        </w:rPr>
        <w:fldChar w:fldCharType="separate"/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пунктами 3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fldChar w:fldCharType="end"/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fldChar w:fldCharType="begin"/>
      </w:r>
      <w:r>
        <w:rPr>
          <w:rFonts w:ascii="PT Astra Serif" w:hAnsi="PT Astra Serif"/>
          <w:color w:val="000000"/>
          <w:sz w:val="28"/>
          <w:szCs w:val="28"/>
          <w:highlight w:val="none"/>
        </w:rPr>
        <w:instrText xml:space="preserve">HYPERLINK https://login.consultant.ru/link/?req=doc&amp;base=RLAW091&amp;n=192747&amp;dst=100111 </w:instrText>
      </w:r>
      <w:r>
        <w:rPr>
          <w:rFonts w:ascii="PT Astra Serif" w:hAnsi="PT Astra Serif"/>
          <w:color w:val="000000"/>
          <w:sz w:val="28"/>
          <w:szCs w:val="28"/>
          <w:highlight w:val="none"/>
        </w:rPr>
        <w:fldChar w:fldCharType="separate"/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3-2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fldChar w:fldCharType="end"/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fldChar w:fldCharType="begin"/>
      </w:r>
      <w:r>
        <w:rPr>
          <w:rFonts w:ascii="PT Astra Serif" w:hAnsi="PT Astra Serif"/>
          <w:color w:val="000000"/>
          <w:sz w:val="28"/>
          <w:szCs w:val="28"/>
          <w:highlight w:val="none"/>
        </w:rPr>
        <w:instrText xml:space="preserve">HYPERLINK https://login.consultant.ru/link/?req=doc&amp;base=RLAW091&amp;n=192747&amp;dst=100077 </w:instrText>
      </w:r>
      <w:r>
        <w:rPr>
          <w:rFonts w:ascii="PT Astra Serif" w:hAnsi="PT Astra Serif"/>
          <w:color w:val="000000"/>
          <w:sz w:val="28"/>
          <w:szCs w:val="28"/>
          <w:highlight w:val="none"/>
        </w:rPr>
        <w:fldChar w:fldCharType="separate"/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8 статьи 2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fldChar w:fldCharType="end"/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Закона Томской области от 18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марта 2003 года № 30-ОЗ «О предоставлении дополнительных налоговых льгот организациям, осуществляющим инвестиционную деятельность на территории Томской области» (далее - дополнительные налоговые льготы)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субъектам инвестиционной деятельности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 определяет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критерии отбора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субъектов инвестиционной деятельности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имеющих право на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получение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дополнительных налоговых льгот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(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л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–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Дополнительные налоговые льготы предоставляются в рамках реализации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комплекса процессных мероприятий по обеспечению реализации государственных функций и полномочий исполнительных органов Томской области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государственной программы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Улучшение инвестиционного климата и развитие экспорта Томской области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»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утвержденной постановлением Администрации Томской области от 26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сентября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2019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года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№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339а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Об утверждении государственной программы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Улучшение инвестиционного климата и развитие экспорта Томской области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»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2.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Право на получение дополнительных налоговых льгот предоставляется субъектам инвестиционной деятельности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(далее –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ы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под которыми в целях настоящего Порядка понимаются юридические лица,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соответствующие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критериям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установленн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ым пунктом 4 настоящего Порядка,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реализу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ющи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инвестиционны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проект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ы, включенные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в Реестр инвестиционных проектов Томской области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(далее – Реестр)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 основании распоряжений Губернатора Томской области, в которых указана форма государственной поддержки в форме дополнительных налоговых льгот.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3.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ь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для получения государственной поддержки в форме дополнительных налоговых льгот пода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в Департамент инвестиционной и промышленной политики Томской области (далее - Департамент) заявление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по форме согласно приложению №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к настоящему Порядку (далее – Заявление).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4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Заявитель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 дату подачи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аявления долж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 соответствовать следующим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критериям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: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заявитель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не явля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ется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иностранным юридическим лицом, в том числе 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заявитель 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 находится в перечне организаций, в отношении которых имеются сведения об их причастности к экстремистской деятельности или терроризму;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3)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заявитель не находит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ся в составляемых в рамках реализации полномочий, предусмотрен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ных главой VII Устава ООН, Советом Безопасности ООН или органами, специально созданными решениями Совета Безопасности ООН, перечнях организаций, связанных с террористическими организациями и террористами или с распространением оружия массового уничтожения;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4)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заявитель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не явля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тся иностранным агент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в соответст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вии с Федеральным законом от 14 июля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2022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года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№ 255-ФЗ «О контроле за деятельностью лиц, находящихся под иностранным влиянием»;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5)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у заявителя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отсутствует неисполненная обязанность по уплате налогов, сборов, страховых взносов</w:t>
      </w:r>
      <w:r>
        <w:rPr>
          <w:rFonts w:ascii="PT Astra Serif" w:hAnsi="PT Astra Serif"/>
          <w:sz w:val="28"/>
          <w:szCs w:val="28"/>
          <w:highlight w:val="none"/>
        </w:rPr>
        <w:t xml:space="preserve">, пеней, штрафов, процентов, подлежащих уплате в соответствии с законодательством Российской Федерации о налогах и сборах;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6)</w:t>
      </w:r>
      <w:r>
        <w:rPr>
          <w:rFonts w:ascii="PT Astra Serif" w:hAnsi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sz w:val="28"/>
          <w:szCs w:val="28"/>
          <w:highlight w:val="none"/>
        </w:rPr>
        <w:t xml:space="preserve">у заявителя отсутствует </w:t>
      </w:r>
      <w:r>
        <w:rPr>
          <w:rFonts w:ascii="PT Astra Serif" w:hAnsi="PT Astra Serif"/>
          <w:sz w:val="28"/>
          <w:szCs w:val="28"/>
          <w:highlight w:val="none"/>
        </w:rPr>
        <w:t xml:space="preserve">просроченная задолженность по возврату в областной бюджет субсидий, бюджетных инвестиций, а также иная просроченная (неурегулированная) задолженность по денежным обязательствам перед Томской областью;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7</w:t>
      </w:r>
      <w:r>
        <w:rPr>
          <w:rFonts w:ascii="PT Astra Serif" w:hAnsi="PT Astra Serif"/>
          <w:sz w:val="28"/>
          <w:szCs w:val="28"/>
          <w:highlight w:val="none"/>
        </w:rPr>
        <w:t xml:space="preserve">) </w:t>
      </w:r>
      <w:r>
        <w:rPr>
          <w:rFonts w:ascii="PT Astra Serif" w:hAnsi="PT Astra Serif"/>
          <w:sz w:val="28"/>
          <w:szCs w:val="28"/>
          <w:highlight w:val="none"/>
        </w:rPr>
        <w:t xml:space="preserve">заявитель не находится в процессе реорганизации (за и</w:t>
      </w:r>
      <w:r>
        <w:rPr>
          <w:rFonts w:ascii="PT Astra Serif" w:hAnsi="PT Astra Serif"/>
          <w:sz w:val="28"/>
          <w:szCs w:val="28"/>
          <w:highlight w:val="none"/>
        </w:rPr>
        <w:t xml:space="preserve">сключением реорганизации в форме присоединения к юридическому лицу, являющемуся заявителем другого юридического лица), ликвидации, в отношении его не введена процедура банкротства, деятельность заявителя не приостановлена в порядке, предусмотренном законод</w:t>
      </w:r>
      <w:r>
        <w:rPr>
          <w:rFonts w:ascii="PT Astra Serif" w:hAnsi="PT Astra Serif"/>
          <w:sz w:val="28"/>
          <w:szCs w:val="28"/>
          <w:highlight w:val="none"/>
        </w:rPr>
        <w:t xml:space="preserve">ательством Российской Федерации</w:t>
      </w:r>
      <w:r>
        <w:rPr>
          <w:rFonts w:ascii="PT Astra Serif" w:hAnsi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8</w:t>
      </w:r>
      <w:r>
        <w:rPr>
          <w:rFonts w:ascii="PT Astra Serif" w:hAnsi="PT Astra Serif"/>
          <w:sz w:val="28"/>
          <w:szCs w:val="28"/>
          <w:highlight w:val="none"/>
        </w:rPr>
        <w:t xml:space="preserve">) 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</w:t>
      </w:r>
      <w:r>
        <w:rPr>
          <w:rFonts w:ascii="PT Astra Serif" w:hAnsi="PT Astra Serif"/>
          <w:sz w:val="28"/>
          <w:szCs w:val="28"/>
          <w:highlight w:val="none"/>
        </w:rPr>
        <w:t xml:space="preserve">галтере (при наличии) заявителя</w:t>
      </w:r>
      <w:r>
        <w:rPr>
          <w:rFonts w:ascii="PT Astra Serif" w:hAnsi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9</w:t>
      </w:r>
      <w:r>
        <w:rPr>
          <w:rFonts w:ascii="PT Astra Serif" w:hAnsi="PT Astra Serif"/>
          <w:sz w:val="28"/>
          <w:szCs w:val="28"/>
          <w:highlight w:val="none"/>
        </w:rPr>
        <w:t xml:space="preserve">)</w:t>
      </w:r>
      <w:r>
        <w:rPr>
          <w:rFonts w:ascii="PT Astra Serif" w:hAnsi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sz w:val="28"/>
          <w:szCs w:val="28"/>
          <w:highlight w:val="none"/>
        </w:rPr>
        <w:t xml:space="preserve">заявитель</w:t>
      </w:r>
      <w:r>
        <w:rPr>
          <w:rFonts w:ascii="PT Astra Serif" w:hAnsi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sz w:val="28"/>
          <w:szCs w:val="28"/>
          <w:highlight w:val="none"/>
        </w:rPr>
        <w:t xml:space="preserve">зарегистрирован в установленном законом порядке, и состоит на учете в качестве налогоплательщика в территориальном органе федерального органа исполнительной власти по Томской области, осуществляющим функции по контролю и надзору в области налогов и сборов;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10</w:t>
      </w:r>
      <w:r>
        <w:rPr>
          <w:rFonts w:ascii="PT Astra Serif" w:hAnsi="PT Astra Serif"/>
          <w:sz w:val="28"/>
          <w:szCs w:val="28"/>
          <w:highlight w:val="none"/>
        </w:rPr>
        <w:t xml:space="preserve">) </w:t>
      </w:r>
      <w:r>
        <w:rPr>
          <w:rFonts w:ascii="PT Astra Serif" w:hAnsi="PT Astra Serif"/>
          <w:sz w:val="28"/>
          <w:szCs w:val="28"/>
          <w:highlight w:val="none"/>
        </w:rPr>
        <w:t xml:space="preserve">заявитель </w:t>
      </w:r>
      <w:r>
        <w:rPr>
          <w:rFonts w:ascii="PT Astra Serif" w:hAnsi="PT Astra Serif"/>
          <w:sz w:val="28"/>
          <w:szCs w:val="28"/>
          <w:highlight w:val="none"/>
        </w:rPr>
        <w:t xml:space="preserve">не имеет задолженности по оплате уставного капитала</w:t>
      </w:r>
      <w:r>
        <w:rPr>
          <w:rFonts w:ascii="PT Astra Serif" w:hAnsi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11) </w:t>
      </w:r>
      <w:r>
        <w:rPr>
          <w:rFonts w:ascii="PT Astra Serif" w:hAnsi="PT Astra Serif"/>
          <w:sz w:val="28"/>
          <w:szCs w:val="28"/>
          <w:highlight w:val="none"/>
        </w:rPr>
        <w:t xml:space="preserve">заявитель </w:t>
      </w:r>
      <w:r>
        <w:rPr>
          <w:rFonts w:ascii="PT Astra Serif" w:hAnsi="PT Astra Serif"/>
          <w:sz w:val="28"/>
          <w:szCs w:val="28"/>
          <w:highlight w:val="none"/>
        </w:rPr>
        <w:t xml:space="preserve">не включен в реестр работодателей, у которых выявлены факты нелегальной занятости, формируемом в соответствии со статьей 67 Федерального закона от 12</w:t>
      </w:r>
      <w:r>
        <w:rPr>
          <w:rFonts w:ascii="PT Astra Serif" w:hAnsi="PT Astra Serif"/>
          <w:sz w:val="28"/>
          <w:szCs w:val="28"/>
          <w:highlight w:val="none"/>
        </w:rPr>
        <w:t xml:space="preserve"> декабря </w:t>
      </w:r>
      <w:r>
        <w:rPr>
          <w:rFonts w:ascii="PT Astra Serif" w:hAnsi="PT Astra Serif"/>
          <w:sz w:val="28"/>
          <w:szCs w:val="28"/>
          <w:highlight w:val="none"/>
        </w:rPr>
        <w:t xml:space="preserve">2023</w:t>
      </w:r>
      <w:r>
        <w:rPr>
          <w:rFonts w:ascii="PT Astra Serif" w:hAnsi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/>
          <w:sz w:val="28"/>
          <w:szCs w:val="28"/>
          <w:highlight w:val="none"/>
        </w:rPr>
        <w:t xml:space="preserve"> № 565-ФЗ «О занятости населения в Российской Федерации» и в порядке, установленном постановлением Правительства Российской Федерации от 27</w:t>
      </w:r>
      <w:r>
        <w:rPr>
          <w:rFonts w:ascii="PT Astra Serif" w:hAnsi="PT Astra Serif"/>
          <w:sz w:val="28"/>
          <w:szCs w:val="28"/>
          <w:highlight w:val="none"/>
        </w:rPr>
        <w:t xml:space="preserve"> декабря </w:t>
      </w:r>
      <w:r>
        <w:rPr>
          <w:rFonts w:ascii="PT Astra Serif" w:hAnsi="PT Astra Serif"/>
          <w:sz w:val="28"/>
          <w:szCs w:val="28"/>
          <w:highlight w:val="none"/>
        </w:rPr>
        <w:t xml:space="preserve">2024</w:t>
      </w:r>
      <w:r>
        <w:rPr>
          <w:rFonts w:ascii="PT Astra Serif" w:hAnsi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/>
          <w:sz w:val="28"/>
          <w:szCs w:val="28"/>
          <w:highlight w:val="none"/>
        </w:rPr>
        <w:t xml:space="preserve"> № 1927 «Об утверждении Правил ведения реестра работодателей, у которых выявлены факты нелегальной занятости».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5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В течение 10 рабочих дней со дня получения Заявления, указанного в пункте 3 настоящего Порядка, Департамент осуществляет проверку, информации изложенной в Заявлении, на соответствие установленным требованиям и критериям.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Проверка достоверности представленной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Заявлении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информации, а также проверка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 соответствие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требованиям, установленным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пунктом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настоящего Порядка, осуществляется с использованием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документов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 сведений, получен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ных в порядке межведомственного информационного взаимодействия, а также путем анализа официальной общедоступной информации о деятельности государственных органов, судов (арбитражных судов), размещаемой в информационно-телекоммуникационной сети «Интернет». 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6. В случае несоответствия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требованиям и критериям, установленным настоящим Порядком, Департамент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письменно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уведомляет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об этом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не позднее 5 рабочих дней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со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дня истечения срока, указанного в абзаце первом пункта 5 настоящего Порядка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7. В случае соответствия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заявителя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требованиям и критериям, установленным настоящим Порядком, Департамент в срок, указанный в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абзаце первом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пункт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5 настоящего Порядка, обеспечивает подготовку проекта инвестиционного соглашения по форме согласно приложению №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3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к настоящему Порядку.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8. 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Проект инвестиционного соглашения, подписанный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от имени Правительства Томской области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заместителем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Председателя Правительства Томской области (по промышленности, инвестиционной политике и имущественным отношениям)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 основании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распоряжения Председателя Правительства Томской области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аправляется Департаментом посредством почтового отправления или вручается лично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инвестору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в срок, не превышающий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5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рабочих дней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со дня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подписа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роекта инвестиционного соглашения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заместителем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Председателя Правительства Томской области (по промышленности, инвестиционной политике и имущественным отношениям)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 Подписанное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инвестиционное соглашение направляется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адрес Депар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тамента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посредством почтового отправления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или вручается лично представителю Департамента в срок, не пр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евышающий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5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рабочих дней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со дня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получения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проекта инвестиционного соглашения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9. 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При отказе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от подписания проекта инвестиционного соглашения в течение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5 рабочих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дней со дня получения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роекта инвестиционного соглашения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: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случае, если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в рамках реализации 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нвестиционного проекта вправе претендовать на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получение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нескольких форм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государственной поддержки в соответств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ии с распоряжением Губернатора Томской области </w:t>
      </w:r>
      <w:r>
        <w:rPr>
          <w:rFonts w:ascii="PT Astra Serif" w:hAnsi="PT Astra Serif"/>
          <w:sz w:val="28"/>
          <w:szCs w:val="28"/>
          <w:highlight w:val="none"/>
        </w:rPr>
        <w:t xml:space="preserve">о включении инвестиционного проекта в Реестр</w:t>
      </w:r>
      <w:r>
        <w:rPr>
          <w:rFonts w:ascii="PT Astra Serif" w:hAnsi="PT Astra Serif"/>
          <w:sz w:val="28"/>
          <w:szCs w:val="28"/>
          <w:highlight w:val="none"/>
        </w:rPr>
        <w:t xml:space="preserve">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Департамент осуществляет подготовку проекта распоряжения Губернатора Томской области о внесении изменений в распоряжение Губернатора Томской области </w:t>
      </w:r>
      <w:r>
        <w:rPr>
          <w:rFonts w:ascii="PT Astra Serif" w:hAnsi="PT Astra Serif"/>
          <w:sz w:val="28"/>
          <w:szCs w:val="28"/>
          <w:highlight w:val="none"/>
        </w:rPr>
        <w:t xml:space="preserve">о включении инвестиционного проекта в Реестр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части исключения для инвестиционного проекта формы государственной поддержки в форме дополнительных налоговых льгот;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случае, если распоряжением Губернатора Томской области </w:t>
      </w:r>
      <w:r>
        <w:rPr>
          <w:rFonts w:ascii="PT Astra Serif" w:hAnsi="PT Astra Serif"/>
          <w:sz w:val="28"/>
          <w:szCs w:val="28"/>
          <w:highlight w:val="none"/>
        </w:rPr>
        <w:t xml:space="preserve">о включении инвестиционного проекта в Реестр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 инвестиционному проекту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не предусмотрена возможность оказания иных форм государственной поддержки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помимо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государственной поддержки в форме дополнительных налоговых льгот,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Департаментом осуществляется подготовка проекта распоряжен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ия Губернатора Томской области об исключении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инвестиционного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проекта из Реестра и прекращении государственной поддержки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субъекта инвестиционной деятельности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0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 Инвестиционное соглашение подлежит изменению при наличии решения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Координационного с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овета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 поддержке инвестиционной деятельности и предоставлению государственных гарантий (далее – Координационный совет)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наличии оснований для внесения изменений в инвестиционное соглашение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случае недостижения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более чем на 10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процентов в меньшую сторону планового значения одного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(нескольких)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из показателей, указанных в приложении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№ 1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к инвестиционному соглашению. Изменения, вносимые в инвестиционные соглашения, оформляются дополнительными соглашения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ми к инвестиционным соглашениям, подготавливаются Департаментом и подписываются</w:t>
      </w:r>
      <w:r>
        <w:rPr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заместителем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Председателя Правительства Томской области (по промышленности, инвестиционной политике и имущественным отношениям)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на основании распоряжения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Председателя Правительства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Томской области.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strike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случае достижения показателей реализации инвестиционного про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екта, определенных в приложении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№ 1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к инвестиционному соглашению, с возможным допустимым отклонением от плановых значений показателей реализации проекта в меньшую сторону не более 10 процентов, инвестиционное соглашение не подлежит изменению.</w:t>
      </w:r>
      <w:r>
        <w:rPr>
          <w:rFonts w:ascii="PT Astra Serif" w:hAnsi="PT Astra Serif"/>
          <w:strike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Расчет значений показателей, предусмотренных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приложениями № 1 и № 2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к инвестиционному соглашению, осуществляется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в соответствии с методикой расчета значений показателей, утвержденной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распоряжением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Департамента.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11. Установление факта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недостижения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более чем на 10 процентов в меньшую сторону планового значения одного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(нескольких)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из показателей, указанных в приложении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№ 1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 инвестиционному соглашению, осуществляется посредством проведения проверки отчетов о выполнении работ по реализации инвестиционного проекта, представляемых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соответствии с инвестиционным соглашением. Департамент не позднее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5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рабочих дней со дня установления факта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 указанного в настоящем пункте,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 первую из отчетных дат, указанных в инвестиционном соглашении, письменно уведомляет куратора инвестиционного проек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та – </w:t>
      </w:r>
      <w:r>
        <w:rPr>
          <w:rFonts w:ascii="PT Astra Serif" w:hAnsi="PT Astra Serif"/>
          <w:sz w:val="28"/>
          <w:szCs w:val="28"/>
          <w:highlight w:val="none"/>
        </w:rPr>
        <w:t xml:space="preserve">специа</w:t>
      </w:r>
      <w:r>
        <w:rPr>
          <w:rFonts w:ascii="PT Astra Serif" w:hAnsi="PT Astra Serif"/>
          <w:sz w:val="28"/>
          <w:szCs w:val="28"/>
          <w:highlight w:val="none"/>
        </w:rPr>
        <w:t xml:space="preserve">лизированную организацию по привлечению инвестиций и работе с инвесторами в Томской области (далее – куратор инвестиционного проекта)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 выявленных нарушениях с целью инициирования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у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ратором инвестиционного проекта 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процедуры внесения изменений в инвестиционное соглашение либо подготовки куратором инвестиционного проекта письменного уведомления об отсутствии оснований для внесения изменений в инвестиционное соглашение.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Критерием для принятия решения Координационным советом об изменении инвестиционного соглашения является наличие в Департаменте заявления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о внесении изменений в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инвестиционное соглашение, экспертного заключения и заключения куратора инвестиционного проекта о целесообразности внесения изменений в инвестиционное соглашение и продолжения предоставления государственной поддержки в форме дополнительных налоговых льгот.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 Инвестиционное соглашение подлежит изменению без принятия </w:t>
      </w:r>
      <w:r>
        <w:rPr>
          <w:sz w:val="28"/>
          <w:szCs w:val="28"/>
          <w:highlight w:val="none"/>
        </w:rPr>
        <w:t xml:space="preserve">Координационным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советом решения о наличии оснований для внесения изменений в инвестиционное соглашение в случае необходимости приведения его в соответствие с законодательством Российской Федерации и Томской области. В указанном случае Департамент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направляет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инвестору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уведомление о наличии оснований для внесения изменений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в инвестиционное соглашение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с приложением проекта дополнительного соглашения к инвестиционному соглашению для его подписания в порядке, предусмотренном пунктом 8 настоящего Порядка.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13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 В случаях, установленных в абзацах первом пункта 10 и пунктом 12 настоящего Порядка, внесение изменений в инвестиционное соглашение осуществляется в течение срока реализации проекта, в том числе в текущем периоде за предыдущие периоды реализации проекта.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Дополнительное соглашение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 инвестиционному соглашению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направляется Департаментом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посредством почтового отправления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или вручается лично представителю инвестора в срок, не превышающий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5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рабочих дней с даты его подписания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заместителем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Председателя Правительства Томской области (по промышленности, инвестиционной политике и имущественным отношениям)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 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Подписанное инвестором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дополнительное соглашение к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инвестиционно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му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соглашени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ю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направляется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адрес Департамента в срок, не превышающий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10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рабочих дней с даты получения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проекта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дополнительного соглашения к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инвестиционно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му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соглашени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ю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14. 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случае получения от инвестора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уведомления об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отказ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от подписания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дополнительного соглашения к инвестиционному соглашению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либо нарушением инвестором срока, установленного абзацем третьим пункта 13 настоящего Порядка,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Правительство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Томской области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течение 5 рабочих дней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со дня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наступления одного из событий,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которое наступит раньше, </w:t>
      </w:r>
      <w:r/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указанных в настоящем пункте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направляет в адрес инвестора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посредством почтового отправления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письменное уведомление о расторжении инвестиционного соглашения в одностороннем порядке.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Инвестиционное соглашение считается расторгнутым по истечении 30 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календарных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дней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со дня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направления инвестору уведо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мления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 расторжении инвестиционного соглашения в одностороннем порядке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случае неподписания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инвестором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проекта дополнительного соглашения к инвестиционному соглашению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Департамент в течении 10 рабочих дней со дня истечения срока для заключения дополнительного соглашения к инвестиционному соглашению, указанного в абзаце первом настоящего пункта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,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осуществляет подготовку: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1)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проекта распоряжения Губернатора Томской области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о внесении изменений в распоряжение Губернатора Томской области о включении инвестиционного проекта в Реестр в части исключения для данного инвестиционного проекта формы государственной поддержки в форме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дополнительных налоговых льгот,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случае, если инвестор в рамках реализации инвестиционного проекта вправе претендовать на получение нескольких форм государственной поддержки в соответствии с распоряжением Губернатора Томской области о включении инвестиционного проекта в Реестр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;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2)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проекта распоряжения Губернатора Томской области об исключении инвестиционного проекта из Реестра и прекращении государственной поддержки субъекта инвестиционной деятельности,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в случае, если распоряжением Губернатора Томской области о включении инвестиционного проекта в Реестр по инвестиционному проекту не предусмотрена возможность оказания иных форм государственной поддержки помимо государственной поддержки в форме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дополнительных налоговых льгот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5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.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Правительство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Томской области вправе инициировать расторжение инвестиционного соглашения в одностороннем порядке, прекратив предоставление государственной поддержки в форме дополнительных налоговых льгот, путем направления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посредством почтового отправления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письменного уведомления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о расторжении инвестиционного соглашения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в адрес инвестора при наличии одного или нескольких следующих обстоятельств: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1)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недостижение инвестором более чем на 10 процентов в меньшую сторону плановых значений показателей, определенных в приложении № 1 к инвестиционному соглашению, при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принятии Координационным советом решения об отказе в изменении инвестиционного соглашения;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2)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 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прекращение осуществления инвестиционной деятельности инвестором по решению уполномоченных государственных органов в соответствии с действующим законодательством;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3)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принятие решения о ликвидации, реорганизации инвестора (за исключением проведения реорганизации в форме преобразования), введ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ение в отношении инвестора процедуры, применяемой в деле о несостоятельности (банкротстве), снятие с учета в качестве налогоплательщика в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территориальном органе федерального органа исполнительной власти по Томской области, уполномоченного по контролю и над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зору в области налогов и сборов.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Инвестор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обязан уведомить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Томской области и Департамент о наступлении обстоятельств, предусмотренных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абзацами третьим, четвертым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настоящ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его пункта, в течение 3 рабочих дней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со дня наступления указанных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обстоятельств.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Инвестор вправе инициировать расторжение инвестиционного соглашения в одностороннем порядке, прекратив получе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ние государственной поддержки в форме дополнительных налоговых льгот, в случае принятия инвестором решения о реализации инвестиционного проекта без государственной поддержки в форме дополнительных налоговых льгот, путем направления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письменного уведомления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 расторжении инвестиционного соглашения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адрес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Томской области и Департамента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при личном обращении,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осредством почтового отп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или электронной почты.</w:t>
      </w:r>
      <w:r>
        <w:rPr>
          <w:highlight w:val="none"/>
        </w:rPr>
      </w:r>
      <w:r/>
    </w:p>
    <w:p>
      <w:pPr>
        <w:pStyle w:val="933"/>
        <w:ind w:firstLine="709"/>
        <w:jc w:val="both"/>
        <w:spacing w:before="0" w:after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В случае, ес</w:t>
      </w:r>
      <w:r>
        <w:rPr>
          <w:rFonts w:ascii="PT Astra Serif" w:hAnsi="PT Astra Serif"/>
          <w:sz w:val="28"/>
          <w:szCs w:val="28"/>
          <w:highlight w:val="none"/>
        </w:rPr>
        <w:t xml:space="preserve">ли инвестор в рамках реализации инвестиционного проекта вправе претендовать на получение нескольких форм государственной поддержки в соответствии с распоряжением Губернатора Томской области о включении инвестиционного проекта в Реестр, Департамент в течени</w:t>
      </w:r>
      <w:r>
        <w:rPr>
          <w:rFonts w:ascii="PT Astra Serif" w:hAnsi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sz w:val="28"/>
          <w:szCs w:val="28"/>
          <w:highlight w:val="none"/>
        </w:rPr>
        <w:t xml:space="preserve">4</w:t>
      </w:r>
      <w:r>
        <w:rPr>
          <w:rFonts w:ascii="PT Astra Serif" w:hAnsi="PT Astra Serif"/>
          <w:sz w:val="28"/>
          <w:szCs w:val="28"/>
          <w:highlight w:val="none"/>
        </w:rPr>
        <w:t xml:space="preserve">0 </w:t>
      </w:r>
      <w:r>
        <w:rPr>
          <w:rFonts w:ascii="PT Astra Serif" w:hAnsi="PT Astra Serif"/>
          <w:sz w:val="28"/>
          <w:szCs w:val="28"/>
          <w:highlight w:val="none"/>
        </w:rPr>
        <w:t xml:space="preserve">календарных</w:t>
      </w:r>
      <w:r>
        <w:rPr>
          <w:rFonts w:ascii="PT Astra Serif" w:hAnsi="PT Astra Serif"/>
          <w:sz w:val="28"/>
          <w:szCs w:val="28"/>
          <w:highlight w:val="none"/>
        </w:rPr>
        <w:t xml:space="preserve"> дней </w:t>
      </w:r>
      <w:r>
        <w:rPr>
          <w:rFonts w:ascii="PT Astra Serif" w:hAnsi="PT Astra Serif"/>
          <w:sz w:val="28"/>
          <w:szCs w:val="28"/>
          <w:highlight w:val="none"/>
        </w:rPr>
        <w:t xml:space="preserve">со дня </w:t>
      </w:r>
      <w:r>
        <w:rPr>
          <w:rFonts w:ascii="PT Astra Serif" w:hAnsi="PT Astra Serif"/>
          <w:sz w:val="28"/>
          <w:szCs w:val="28"/>
          <w:highlight w:val="none"/>
        </w:rPr>
        <w:t xml:space="preserve">направления уведомлени</w:t>
      </w:r>
      <w:r>
        <w:rPr>
          <w:rFonts w:ascii="PT Astra Serif" w:hAnsi="PT Astra Serif"/>
          <w:sz w:val="28"/>
          <w:szCs w:val="28"/>
          <w:highlight w:val="none"/>
        </w:rPr>
        <w:t xml:space="preserve">я</w:t>
      </w:r>
      <w:r>
        <w:rPr>
          <w:rFonts w:ascii="PT Astra Serif" w:hAnsi="PT Astra Serif"/>
          <w:sz w:val="28"/>
          <w:szCs w:val="28"/>
          <w:highlight w:val="none"/>
        </w:rPr>
        <w:t xml:space="preserve">, предусмотренного абзацем первым настоящего пункта, и (или) получения уведомления, предусмотренного абзацем шестым настоящего пункта, осуществляет подготовку проекта распоряжения Губерн</w:t>
      </w:r>
      <w:r>
        <w:rPr>
          <w:rFonts w:ascii="PT Astra Serif" w:hAnsi="PT Astra Serif"/>
          <w:sz w:val="28"/>
          <w:szCs w:val="28"/>
          <w:highlight w:val="none"/>
        </w:rPr>
        <w:t xml:space="preserve">атора Томской области о внесении изменений в распоряжение Губернатора Томской области о включении инвестиционного проекта в Реестр в части исключения для данного инвестиционного проекта формы государственной поддержки в форме дополнительных налоговых льгот</w:t>
      </w:r>
      <w:r>
        <w:rPr>
          <w:rFonts w:ascii="PT Astra Serif" w:hAnsi="PT Astra Serif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33"/>
        <w:ind w:firstLine="709"/>
        <w:jc w:val="both"/>
        <w:spacing w:before="0" w:after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В случае, если распоряжением Губернатора Томской области о включении инвестиционного проекта в Реестр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не предусмотрена возможность оказания иных форм государственной поддержки помимо государственной поддержки в форме дополнительных налоговых льгот,</w:t>
      </w:r>
      <w:r>
        <w:rPr>
          <w:rFonts w:ascii="PT Astra Serif" w:hAnsi="PT Astra Serif"/>
          <w:sz w:val="28"/>
          <w:szCs w:val="28"/>
          <w:highlight w:val="none"/>
        </w:rPr>
        <w:t xml:space="preserve"> Департамент в течени</w:t>
      </w:r>
      <w:r>
        <w:rPr>
          <w:rFonts w:ascii="PT Astra Serif" w:hAnsi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sz w:val="28"/>
          <w:szCs w:val="28"/>
          <w:highlight w:val="none"/>
        </w:rPr>
        <w:t xml:space="preserve">4</w:t>
      </w:r>
      <w:r>
        <w:rPr>
          <w:rFonts w:ascii="PT Astra Serif" w:hAnsi="PT Astra Serif"/>
          <w:sz w:val="28"/>
          <w:szCs w:val="28"/>
          <w:highlight w:val="none"/>
        </w:rPr>
        <w:t xml:space="preserve">0 календарных</w:t>
      </w:r>
      <w:r>
        <w:rPr>
          <w:rFonts w:ascii="PT Astra Serif" w:hAnsi="PT Astra Serif"/>
          <w:sz w:val="28"/>
          <w:szCs w:val="28"/>
          <w:highlight w:val="none"/>
        </w:rPr>
        <w:t xml:space="preserve"> дней </w:t>
      </w:r>
      <w:r>
        <w:rPr>
          <w:rFonts w:ascii="PT Astra Serif" w:hAnsi="PT Astra Serif"/>
          <w:sz w:val="28"/>
          <w:szCs w:val="28"/>
          <w:highlight w:val="none"/>
        </w:rPr>
        <w:t xml:space="preserve">со дня</w:t>
      </w:r>
      <w:r>
        <w:rPr>
          <w:rFonts w:ascii="PT Astra Serif" w:hAnsi="PT Astra Serif"/>
          <w:sz w:val="28"/>
          <w:szCs w:val="28"/>
          <w:highlight w:val="none"/>
        </w:rPr>
        <w:t xml:space="preserve"> направления уведомлени</w:t>
      </w:r>
      <w:r>
        <w:rPr>
          <w:rFonts w:ascii="PT Astra Serif" w:hAnsi="PT Astra Serif"/>
          <w:sz w:val="28"/>
          <w:szCs w:val="28"/>
          <w:highlight w:val="none"/>
        </w:rPr>
        <w:t xml:space="preserve">я</w:t>
      </w:r>
      <w:r>
        <w:rPr>
          <w:rFonts w:ascii="PT Astra Serif" w:hAnsi="PT Astra Serif"/>
          <w:sz w:val="28"/>
          <w:szCs w:val="28"/>
          <w:highlight w:val="none"/>
        </w:rPr>
        <w:t xml:space="preserve">, предусмотренного абзацем первым настоящего пункта, и (или) получения уведомления, предусмотренного абзацем шестым настоящего пункта, осуществляет</w:t>
      </w:r>
      <w:r>
        <w:rPr>
          <w:rFonts w:ascii="PT Astra Serif" w:hAnsi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sz w:val="28"/>
          <w:szCs w:val="28"/>
          <w:highlight w:val="none"/>
        </w:rPr>
        <w:t xml:space="preserve">подготовк</w:t>
      </w:r>
      <w:r>
        <w:rPr>
          <w:rFonts w:ascii="PT Astra Serif" w:hAnsi="PT Astra Serif"/>
          <w:sz w:val="28"/>
          <w:szCs w:val="28"/>
          <w:highlight w:val="none"/>
        </w:rPr>
        <w:t xml:space="preserve">у</w:t>
      </w:r>
      <w:r>
        <w:rPr>
          <w:rFonts w:ascii="PT Astra Serif" w:hAnsi="PT Astra Serif"/>
          <w:sz w:val="28"/>
          <w:szCs w:val="28"/>
          <w:highlight w:val="none"/>
        </w:rPr>
        <w:t xml:space="preserve"> проекта распоряжения Губернатора Томской области об исключении </w:t>
      </w:r>
      <w:r>
        <w:rPr>
          <w:rFonts w:ascii="PT Astra Serif" w:hAnsi="PT Astra Serif"/>
          <w:sz w:val="28"/>
          <w:szCs w:val="28"/>
          <w:highlight w:val="none"/>
        </w:rPr>
        <w:t xml:space="preserve">инвестиционного </w:t>
      </w:r>
      <w:r>
        <w:rPr>
          <w:rFonts w:ascii="PT Astra Serif" w:hAnsi="PT Astra Serif"/>
          <w:sz w:val="28"/>
          <w:szCs w:val="28"/>
          <w:highlight w:val="none"/>
        </w:rPr>
        <w:t xml:space="preserve">проекта из Реестра и прекращении государственной поддержки.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Инвестиционное соглашение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считается расторгнутым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по истечении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30 календарных дней с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 дня</w:t>
      </w:r>
      <w:r>
        <w:rPr>
          <w:rFonts w:ascii="PT Astra Serif" w:hAnsi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sz w:val="28"/>
          <w:szCs w:val="28"/>
          <w:highlight w:val="none"/>
        </w:rPr>
        <w:t xml:space="preserve">получения инвестором </w:t>
      </w:r>
      <w:r>
        <w:rPr>
          <w:rFonts w:ascii="PT Astra Serif" w:hAnsi="PT Astra Serif"/>
          <w:sz w:val="28"/>
          <w:szCs w:val="28"/>
          <w:highlight w:val="none"/>
        </w:rPr>
        <w:t xml:space="preserve">уведомления, предусмотренного абзацем первым настоящего пункта, и (или) получения </w:t>
      </w:r>
      <w:r>
        <w:rPr>
          <w:rFonts w:ascii="PT Astra Serif" w:hAnsi="PT Astra Serif"/>
          <w:sz w:val="28"/>
          <w:szCs w:val="28"/>
          <w:highlight w:val="none"/>
        </w:rPr>
        <w:t xml:space="preserve">Правительством </w:t>
      </w:r>
      <w:r>
        <w:rPr>
          <w:rFonts w:ascii="PT Astra Serif" w:hAnsi="PT Astra Serif"/>
          <w:sz w:val="28"/>
          <w:szCs w:val="28"/>
          <w:highlight w:val="none"/>
        </w:rPr>
        <w:t xml:space="preserve">Томской области </w:t>
      </w:r>
      <w:r>
        <w:rPr>
          <w:rFonts w:ascii="PT Astra Serif" w:hAnsi="PT Astra Serif"/>
          <w:sz w:val="28"/>
          <w:szCs w:val="28"/>
          <w:highlight w:val="none"/>
        </w:rPr>
        <w:t xml:space="preserve">уведомления, предусмотренного абзацем шестым настоящего пункта,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если в уведомлении не указана иная дата расторжения инвестиционного соглашения. 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16. В случае прекращения государственной поддержки инвестиционной деятельности по основаниям, указанным в пунктах 14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15 настоящего Порядка,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сумма налога подлежит исчислению и уплате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инвестором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областной бюджет. Исчисление налога производится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инвестором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без учета применения налоговой льготы, предусмотренной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Законом Томской области от 18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марта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2003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№ 30-ОЗ «О предоставлении дополнительных налоговых льгот организациям, осуществляющим инвестиционную деятельность на территории Томской области»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за весь период применения налоговой льготы. Исчисленная сумма налога подлежит уплате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инвестором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по истечении отчетного или налогового периода, в котором </w:t>
      </w:r>
      <w:r>
        <w:rPr>
          <w:rFonts w:ascii="PT Astra Serif" w:hAnsi="PT Astra Serif"/>
          <w:sz w:val="28"/>
          <w:szCs w:val="28"/>
          <w:highlight w:val="none"/>
        </w:rPr>
        <w:t xml:space="preserve">инвестиционное соглашение было расторгнуто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не позднее сроков, установленных для уплаты авансовых платежей по налогу за отчетный период или налога за налоговый период.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17.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расторжении 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нвестиционного соглашения Департамент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осредством почтового отп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или по электронной почте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уведомляет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территориальный орган федерального органа исполнительной власти по Томской области, уполномоченного по контролю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 надзору в области налогов и сборо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в,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течении 5 рабочих дней со дня расторжения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нвестиционного соглашения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.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18.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случае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изменения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мест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постановки на налоговый учет в другом субъекте Российской Федерации до истечения трехлетнего срока с момента окончания действия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дополнительных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налоговых льгот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инвестор обязан: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1)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информировать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осредством почтового отп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или электронной почты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Правительство и Департамент 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смене места постановки на налоговый учет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не позднее 3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рабочих дней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со дня снятия с учета в качестве налогоплательщика в территориальном органе федерального органа исполнительной власти по Томской области, уполномоченного по контролю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 надзору в области налогов и сборов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2)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исчислить и уплатить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сумму налога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областной бюджет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без учета применения налоговой льготы, предусмотренной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Законом Томской области от 18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марта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2003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№ 30-ОЗ «О предоставлении дополнительных налоговых льгот организациям, осуществляющим инвестиционную деятельность на территории Томской области»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за весь период применения налоговой льготы.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Исчисленная сумма налога подлежит уплате инвестором по истечении отчетного или налогового периода, в котором инвестор изменил место постановки на налоговый учет, не позднее сроков, установленны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х для уплаты авансовых платежей по налогу за отчетный период или налога за налоговый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период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t xml:space="preserve">;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3) подтвердить факт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исполнения обязательства по уплате суммы налога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областной бюджет, предусмотренного подпунктом 2 пункта 18 настоящего Порядка, путем предоставления в Департамент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при личном обращении,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осредством почтового отп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или электронной почты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копии платежного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документа и копии налоговой декларации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(копии расчета) с отметкой налогового органа о принятии (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при подаче налоговой декларации (расчета) на бумажном носителе)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ли с приложением квитанции о приеме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налоговой декларации (расчета)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электронной форме (при подаче налоговой декларации (расчета) по телекоммуникационным каналам связи или через личный кабинет налогоплате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льщика)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ч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5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р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б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ч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х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й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у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ы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у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м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м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ы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г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.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19.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Департамент в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течение трех лет со дня окончания действия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дополнительных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налоговых льгот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осуществляет проверку информации о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месте постановки на налоговый учет инвестора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путём запроса выписок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из единого государственного реестра юридических лиц или единого государственного реестра индивидуальных предпринимателей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через официальный интернет-сервис ф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едерального органа исполнительной власти, уполномоченного по контролю и надзору в области налогов и сборов,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не реже одного раза в год.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  <w14:ligatures w14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случае если Департаментом выявлен факт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изменения инвестором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мест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постановки на налоговый учет в другом субъекте Российской Федерации до истечения трехлетнего срока с момента окончания действия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дополнительных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налоговых льгот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 при этом инвестором не исполнены обязательства, предусмотренные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пунктом 18 настоящего Порядка,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Департамент уведомляет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территориальный орган федерального органа исполнительной власти по Томской области, уполномоченного по контролю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 надзору в области налогов и сборо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в,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о нарушении инвестором положений пункта 3 статьи 4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Закона Томской области от 18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марта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2003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№ 30-ОЗ «О предоставлении дополнительных налоговых льгот организациям, осуществляющим инвестиционную деятельность на территории Томской области»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течении 5 рабочих дней со дня, когда Департаменту стало известно 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смене субъектом инвестиционной деятельности места постановки на налоговый учет в другом субъекте Российской Федерации.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/>
    </w:p>
    <w:p>
      <w:pPr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br w:type="page" w:clear="all"/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Приложение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№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1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к Порядку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рассмотрения заявления о предоставлении государственной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поддержки в форме дополнительных налоговых льгот субъектам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инвестиционной деятельности и критериям отбора инвесторов,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имеющих право на получение дополнительных налоговых льгот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Форма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Департамент инвестиционной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и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промышленной политики Томской области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(О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т) ___________________________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5529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(Полное наименование субъекта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инвестиционной деятельности(инвестора))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Адреса местонахождения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(юридический и фактический):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_______________________________ 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Основной государственный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регистрационный номер: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_______________________________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Индивидуальный номер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налогоплательщика: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_______________________________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16"/>
          <w:szCs w:val="16"/>
          <w:highlight w:val="none"/>
        </w:rPr>
      </w:pPr>
      <w:r>
        <w:rPr>
          <w:rFonts w:ascii="PT Astra Serif" w:hAnsi="PT Astra Serif" w:cs="Courier New"/>
          <w:sz w:val="16"/>
          <w:szCs w:val="16"/>
          <w:highlight w:val="none"/>
        </w:rPr>
      </w:r>
      <w:r>
        <w:rPr>
          <w:rFonts w:ascii="PT Astra Serif" w:hAnsi="PT Astra Serif" w:cs="Courier New"/>
          <w:sz w:val="16"/>
          <w:szCs w:val="16"/>
          <w:highlight w:val="none"/>
        </w:rPr>
      </w:r>
      <w:r/>
    </w:p>
    <w:p>
      <w:pPr>
        <w:pStyle w:val="897"/>
        <w:ind w:firstLine="0"/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Заявление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о предоставлении государственной поддержки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в форме дополнительных налоговых льгот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16"/>
          <w:szCs w:val="16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 </w:t>
      </w:r>
      <w:r>
        <w:rPr>
          <w:rFonts w:ascii="PT Astra Serif" w:hAnsi="PT Astra Serif" w:cs="Courier New"/>
          <w:sz w:val="16"/>
          <w:szCs w:val="16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В соответствии с ____________________ (указывается правовое основание в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соответствии с Законом Томской области от 18 марта 2003 года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№ 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30-ОЗ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«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О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предоставлении дополнительных налоговых льгот организациям, осуществляющим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инвестиционную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деятельность на территории Томской области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»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)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,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распоряжением Губернатора Томской области от «____» ___ ___ № _____ «О включении инвестиционного проекта в Реестр инвестиционных проектов Томской области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»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прошу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предоставить ____________________ (указывается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наименование субъекта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инвестиционной деятельности (инвестора) государственную поддержку в форме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дополнительн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ой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налогов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ой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льгот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ы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по ____________________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_______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(указывается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наименование налогов) в части, подлежащей зачислению в областной бюджет, в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рамках реализации инвестиционного проекта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«____________________»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(указывается наименование инвестиционного проекта) в размере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____________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__ рублей ___ копеек.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16"/>
          <w:szCs w:val="16"/>
          <w:highlight w:val="none"/>
        </w:rPr>
      </w:pPr>
      <w:r>
        <w:rPr>
          <w:rFonts w:ascii="PT Astra Serif" w:hAnsi="PT Astra Serif" w:cs="Courier New"/>
          <w:sz w:val="16"/>
          <w:szCs w:val="16"/>
          <w:highlight w:val="none"/>
        </w:rPr>
      </w:r>
      <w:r>
        <w:rPr>
          <w:rFonts w:ascii="PT Astra Serif" w:hAnsi="PT Astra Serif" w:cs="Courier New"/>
          <w:sz w:val="16"/>
          <w:szCs w:val="16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Подтверждаю, что ___________________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__________________________</w:t>
      </w:r>
      <w:r>
        <w:rPr>
          <w:rFonts w:ascii="PT Astra Serif" w:hAnsi="PT Astra Serif" w:cs="Courier New"/>
          <w:sz w:val="28"/>
          <w:szCs w:val="28"/>
          <w:highlight w:val="none"/>
        </w:rPr>
        <w:br w:type="textWrapping" w:clear="all"/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(н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аименование субъ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екта инвестиционной деятельности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(инвестора)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16"/>
          <w:szCs w:val="16"/>
          <w:highlight w:val="none"/>
        </w:rPr>
      </w:pPr>
      <w:r>
        <w:rPr>
          <w:rFonts w:ascii="PT Astra Serif" w:hAnsi="PT Astra Serif" w:cs="Courier New"/>
          <w:sz w:val="16"/>
          <w:szCs w:val="16"/>
          <w:highlight w:val="none"/>
        </w:rPr>
      </w:r>
      <w:r>
        <w:rPr>
          <w:rFonts w:ascii="PT Astra Serif" w:hAnsi="PT Astra Serif" w:cs="Courier New"/>
          <w:sz w:val="16"/>
          <w:szCs w:val="16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strike w:val="0"/>
          <w:color w:val="000000"/>
          <w:sz w:val="28"/>
          <w:szCs w:val="28"/>
          <w:highlight w:val="white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1) </w:t>
      </w:r>
      <w:r>
        <w:rPr>
          <w:rFonts w:ascii="PT Astra Serif" w:hAnsi="PT Astra Serif"/>
          <w:sz w:val="28"/>
          <w:szCs w:val="28"/>
          <w:highlight w:val="none"/>
        </w:rPr>
        <w:t xml:space="preserve">не явля</w:t>
      </w:r>
      <w:r>
        <w:rPr>
          <w:rFonts w:ascii="PT Astra Serif" w:hAnsi="PT Astra Serif"/>
          <w:sz w:val="28"/>
          <w:szCs w:val="28"/>
          <w:highlight w:val="none"/>
        </w:rPr>
        <w:t xml:space="preserve">ется</w:t>
      </w:r>
      <w:r>
        <w:rPr>
          <w:rFonts w:ascii="PT Astra Serif" w:hAnsi="PT Astra Serif"/>
          <w:sz w:val="28"/>
          <w:szCs w:val="28"/>
          <w:highlight w:val="none"/>
        </w:rPr>
        <w:t xml:space="preserve"> иностранным юридическим лицом, в том числе </w:t>
      </w:r>
      <w:r>
        <w:rPr>
          <w:rFonts w:ascii="PT Astra Serif" w:hAnsi="PT Astra Serif"/>
          <w:sz w:val="28"/>
          <w:szCs w:val="28"/>
          <w:highlight w:val="none"/>
        </w:rPr>
        <w:t xml:space="preserve">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</w:t>
      </w:r>
      <w:r>
        <w:rPr>
          <w:rFonts w:ascii="PT Astra Serif" w:hAnsi="PT Astra Serif"/>
          <w:sz w:val="28"/>
          <w:szCs w:val="28"/>
          <w:highlight w:val="none"/>
        </w:rPr>
        <w:t xml:space="preserve">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</w:t>
      </w:r>
      <w:r>
        <w:rPr>
          <w:rFonts w:ascii="PT Astra Serif" w:hAnsi="PT Astra Serif"/>
          <w:strike w:val="0"/>
          <w:sz w:val="28"/>
          <w:szCs w:val="28"/>
          <w:highlight w:val="white"/>
        </w:rPr>
        <w:t xml:space="preserve">ышает 25 процентов (если иное не предусмотрено законодат</w:t>
      </w:r>
      <w:r>
        <w:rPr>
          <w:rFonts w:ascii="PT Astra Serif" w:hAnsi="PT Astra Serif"/>
          <w:strike w:val="0"/>
          <w:sz w:val="28"/>
          <w:szCs w:val="28"/>
          <w:highlight w:val="white"/>
        </w:rPr>
        <w:t xml:space="preserve">ельством Российской Федерации)</w:t>
      </w:r>
      <w:r>
        <w:rPr>
          <w:rFonts w:ascii="PT Astra Serif" w:hAnsi="PT Astra Serif"/>
          <w:strike w:val="0"/>
          <w:color w:val="000000"/>
          <w:sz w:val="28"/>
          <w:szCs w:val="28"/>
          <w:highlight w:val="white"/>
        </w:rPr>
        <w:t xml:space="preserve">;</w:t>
      </w:r>
      <w:r>
        <w:rPr>
          <w:rFonts w:ascii="PT Astra Serif" w:hAnsi="PT Astra Serif"/>
          <w:strike w:val="0"/>
          <w:color w:val="000000"/>
          <w:sz w:val="28"/>
          <w:szCs w:val="28"/>
          <w:highlight w:val="whit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2) не находится в перечне организаций, в отношении которых имеются сведения об их причастности к экстремистской деятельности или терроризму;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3) не находится в составляемых в рамках реализации полномочий, предусмотрен</w:t>
      </w:r>
      <w:r>
        <w:rPr>
          <w:rFonts w:ascii="PT Astra Serif" w:hAnsi="PT Astra Serif"/>
          <w:sz w:val="28"/>
          <w:szCs w:val="28"/>
          <w:highlight w:val="none"/>
        </w:rPr>
        <w:t xml:space="preserve">ных главой VII Устава ООН, Советом Безопасности ООН или органами, специально созданными решениями Совета Безопасности ООН, перечнях организаций, связанных с террористическими организациями и террористами или с распространением оружия массового уничтожения;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4) не явля</w:t>
      </w:r>
      <w:r>
        <w:rPr>
          <w:rFonts w:ascii="PT Astra Serif" w:hAnsi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/>
          <w:sz w:val="28"/>
          <w:szCs w:val="28"/>
          <w:highlight w:val="none"/>
        </w:rPr>
        <w:t xml:space="preserve">тся иностранным агентом в соответствии с Федеральным законом от 14</w:t>
      </w:r>
      <w:r>
        <w:rPr>
          <w:rFonts w:ascii="PT Astra Serif" w:hAnsi="PT Astra Serif"/>
          <w:sz w:val="28"/>
          <w:szCs w:val="28"/>
          <w:highlight w:val="none"/>
        </w:rPr>
        <w:t xml:space="preserve"> июля </w:t>
      </w:r>
      <w:r>
        <w:rPr>
          <w:rFonts w:ascii="PT Astra Serif" w:hAnsi="PT Astra Serif"/>
          <w:sz w:val="28"/>
          <w:szCs w:val="28"/>
          <w:highlight w:val="none"/>
        </w:rPr>
        <w:t xml:space="preserve">2022</w:t>
      </w:r>
      <w:r>
        <w:rPr>
          <w:rFonts w:ascii="PT Astra Serif" w:hAnsi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/>
          <w:sz w:val="28"/>
          <w:szCs w:val="28"/>
          <w:highlight w:val="none"/>
        </w:rPr>
        <w:t xml:space="preserve"> № 255-ФЗ «О контроле за деятельностью лиц, находящихся под иностранным влиянием»;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5) </w:t>
      </w:r>
      <w:r>
        <w:rPr>
          <w:rFonts w:ascii="PT Astra Serif" w:hAnsi="PT Astra Serif"/>
          <w:sz w:val="28"/>
          <w:szCs w:val="28"/>
          <w:highlight w:val="none"/>
        </w:rPr>
        <w:t xml:space="preserve">не имеет </w:t>
      </w:r>
      <w:r>
        <w:rPr>
          <w:rFonts w:ascii="PT Astra Serif" w:hAnsi="PT Astra Serif"/>
          <w:sz w:val="28"/>
          <w:szCs w:val="28"/>
          <w:highlight w:val="none"/>
        </w:rPr>
        <w:t xml:space="preserve">неисполненн</w:t>
      </w:r>
      <w:r>
        <w:rPr>
          <w:rFonts w:ascii="PT Astra Serif" w:hAnsi="PT Astra Serif"/>
          <w:sz w:val="28"/>
          <w:szCs w:val="28"/>
          <w:highlight w:val="none"/>
        </w:rPr>
        <w:t xml:space="preserve">ой</w:t>
      </w:r>
      <w:r>
        <w:rPr>
          <w:rFonts w:ascii="PT Astra Serif" w:hAnsi="PT Astra Serif"/>
          <w:sz w:val="28"/>
          <w:szCs w:val="28"/>
          <w:highlight w:val="none"/>
        </w:rPr>
        <w:t xml:space="preserve"> обязанност</w:t>
      </w:r>
      <w:r>
        <w:rPr>
          <w:rFonts w:ascii="PT Astra Serif" w:hAnsi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/>
          <w:sz w:val="28"/>
          <w:szCs w:val="28"/>
          <w:highlight w:val="none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6) </w:t>
      </w:r>
      <w:r>
        <w:rPr>
          <w:rFonts w:ascii="PT Astra Serif" w:hAnsi="PT Astra Serif"/>
          <w:sz w:val="28"/>
          <w:szCs w:val="28"/>
          <w:highlight w:val="none"/>
        </w:rPr>
        <w:t xml:space="preserve">не имеет</w:t>
      </w:r>
      <w:r>
        <w:rPr>
          <w:rFonts w:ascii="PT Astra Serif" w:hAnsi="PT Astra Serif"/>
          <w:sz w:val="28"/>
          <w:szCs w:val="28"/>
          <w:highlight w:val="none"/>
        </w:rPr>
        <w:t xml:space="preserve"> просроченн</w:t>
      </w:r>
      <w:r>
        <w:rPr>
          <w:rFonts w:ascii="PT Astra Serif" w:hAnsi="PT Astra Serif"/>
          <w:sz w:val="28"/>
          <w:szCs w:val="28"/>
          <w:highlight w:val="none"/>
        </w:rPr>
        <w:t xml:space="preserve">ой</w:t>
      </w:r>
      <w:r>
        <w:rPr>
          <w:rFonts w:ascii="PT Astra Serif" w:hAnsi="PT Astra Serif"/>
          <w:sz w:val="28"/>
          <w:szCs w:val="28"/>
          <w:highlight w:val="none"/>
        </w:rPr>
        <w:t xml:space="preserve"> задолженност</w:t>
      </w:r>
      <w:r>
        <w:rPr>
          <w:rFonts w:ascii="PT Astra Serif" w:hAnsi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/>
          <w:sz w:val="28"/>
          <w:szCs w:val="28"/>
          <w:highlight w:val="none"/>
        </w:rPr>
        <w:t xml:space="preserve"> по возврату в областной бюджет субсидий, бюджетных инвестиций, а также иная просроченная (неурегулированная) задолженность по денежным обязательствам перед Томской областью;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7) не находится в процессе реорганизации, ликвидации, в отношении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субъекта инвестиционной деятельности </w:t>
      </w:r>
      <w:r>
        <w:rPr>
          <w:rFonts w:ascii="PT Astra Serif" w:hAnsi="PT Astra Serif"/>
          <w:sz w:val="28"/>
          <w:szCs w:val="28"/>
          <w:highlight w:val="none"/>
        </w:rPr>
        <w:t xml:space="preserve">не введена процедура банкротства, деятельность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субъекта инвестиционной деятельности </w:t>
      </w:r>
      <w:r>
        <w:rPr>
          <w:rFonts w:ascii="PT Astra Serif" w:hAnsi="PT Astra Serif"/>
          <w:sz w:val="28"/>
          <w:szCs w:val="28"/>
          <w:highlight w:val="none"/>
        </w:rPr>
        <w:t xml:space="preserve">не приостановлена в порядке, предусмотренном законодательством Российской Федерации;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8) 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заявителя;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9) </w:t>
      </w:r>
      <w:r>
        <w:rPr>
          <w:rFonts w:ascii="PT Astra Serif" w:hAnsi="PT Astra Serif"/>
          <w:sz w:val="28"/>
          <w:szCs w:val="28"/>
          <w:highlight w:val="none"/>
        </w:rPr>
        <w:t xml:space="preserve">зарегистрирован в установленном законом порядке, и состоит на учете в качестве налогоплательщика в территориальном органе федерального органа исполнительной власти по Томской области, осуществляющим функции по контролю и надзору в области налогов и сборов;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10) не имеет задолженности по оплате уставного капитала</w:t>
      </w:r>
      <w:r>
        <w:rPr>
          <w:rFonts w:ascii="PT Astra Serif" w:hAnsi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708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11) не включен в реестр работодателей, у которых выявлены факты нелегальной занятости, формируемом в соответствии со статьей 67 Федерального закона от 12</w:t>
      </w:r>
      <w:r>
        <w:rPr>
          <w:rFonts w:ascii="PT Astra Serif" w:hAnsi="PT Astra Serif"/>
          <w:sz w:val="28"/>
          <w:szCs w:val="28"/>
          <w:highlight w:val="none"/>
        </w:rPr>
        <w:t xml:space="preserve"> декабря </w:t>
      </w:r>
      <w:r>
        <w:rPr>
          <w:rFonts w:ascii="PT Astra Serif" w:hAnsi="PT Astra Serif"/>
          <w:sz w:val="28"/>
          <w:szCs w:val="28"/>
          <w:highlight w:val="none"/>
        </w:rPr>
        <w:t xml:space="preserve">2023</w:t>
      </w:r>
      <w:r>
        <w:rPr>
          <w:rFonts w:ascii="PT Astra Serif" w:hAnsi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/>
          <w:sz w:val="28"/>
          <w:szCs w:val="28"/>
          <w:highlight w:val="none"/>
        </w:rPr>
        <w:t xml:space="preserve"> № 565-ФЗ «О занятости населения в Российской Федерации» и в порядке, установленном постановлением Правительства Российской Федерации от 27</w:t>
      </w:r>
      <w:r>
        <w:rPr>
          <w:rFonts w:ascii="PT Astra Serif" w:hAnsi="PT Astra Serif"/>
          <w:sz w:val="28"/>
          <w:szCs w:val="28"/>
          <w:highlight w:val="none"/>
        </w:rPr>
        <w:t xml:space="preserve"> декабря </w:t>
      </w:r>
      <w:r>
        <w:rPr>
          <w:rFonts w:ascii="PT Astra Serif" w:hAnsi="PT Astra Serif"/>
          <w:sz w:val="28"/>
          <w:szCs w:val="28"/>
          <w:highlight w:val="none"/>
        </w:rPr>
        <w:t xml:space="preserve">2024</w:t>
      </w:r>
      <w:r>
        <w:rPr>
          <w:rFonts w:ascii="PT Astra Serif" w:hAnsi="PT Astra Serif"/>
          <w:sz w:val="28"/>
          <w:szCs w:val="28"/>
          <w:highlight w:val="none"/>
        </w:rPr>
        <w:t xml:space="preserve"> года</w:t>
      </w:r>
      <w:r>
        <w:rPr>
          <w:rFonts w:ascii="PT Astra Serif" w:hAnsi="PT Astra Serif"/>
          <w:sz w:val="28"/>
          <w:szCs w:val="28"/>
          <w:highlight w:val="none"/>
        </w:rPr>
        <w:t xml:space="preserve"> № 1927 «Об утверждении Правил ведения реестра работодателей, у которых выявлены факты нелегальной занятости».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16"/>
          <w:szCs w:val="16"/>
          <w:highlight w:val="none"/>
        </w:rPr>
      </w:pPr>
      <w:r>
        <w:rPr>
          <w:rFonts w:ascii="PT Astra Serif" w:hAnsi="PT Astra Serif" w:cs="Courier New"/>
          <w:sz w:val="16"/>
          <w:szCs w:val="16"/>
          <w:highlight w:val="none"/>
        </w:rPr>
      </w:r>
      <w:r>
        <w:rPr>
          <w:rFonts w:ascii="PT Astra Serif" w:hAnsi="PT Astra Serif" w:cs="Courier New"/>
          <w:sz w:val="16"/>
          <w:szCs w:val="16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Сообщаю об отсутствии (наличии) (нужное подчеркнуть) информации, составляющей коммерческую тайну, в прилагаемых документах.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16"/>
          <w:szCs w:val="16"/>
          <w:highlight w:val="none"/>
        </w:rPr>
      </w:pPr>
      <w:r>
        <w:rPr>
          <w:rFonts w:ascii="PT Astra Serif" w:hAnsi="PT Astra Serif" w:cs="Courier New"/>
          <w:sz w:val="16"/>
          <w:szCs w:val="16"/>
          <w:highlight w:val="none"/>
        </w:rPr>
      </w:r>
      <w:r>
        <w:rPr>
          <w:rFonts w:ascii="PT Astra Serif" w:hAnsi="PT Astra Serif" w:cs="Courier New"/>
          <w:sz w:val="16"/>
          <w:szCs w:val="16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Гарантирую достоверность представленной в заявлении информации. 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16"/>
          <w:szCs w:val="16"/>
          <w:highlight w:val="none"/>
        </w:rPr>
      </w:pPr>
      <w:r>
        <w:rPr>
          <w:rFonts w:ascii="PT Astra Serif" w:hAnsi="PT Astra Serif" w:cs="Courier New"/>
          <w:sz w:val="16"/>
          <w:szCs w:val="16"/>
          <w:highlight w:val="none"/>
        </w:rPr>
      </w:r>
      <w:r>
        <w:rPr>
          <w:rFonts w:ascii="PT Astra Serif" w:hAnsi="PT Astra Serif" w:cs="Courier New"/>
          <w:sz w:val="16"/>
          <w:szCs w:val="16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Подтверждаю, что выполнены требования, установленные Правилами предоставления субъектами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промышленности, утвержденными постановлением Правительства Российской Федерации от 21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декабря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2017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года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№ 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1604 «О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енности и размещении информации государственной информационной системы промышленности в открытом доступе в информационно-телекоммуникационной сети «Интернет» (указывается в случае подачи настоящего заявления субъектами деятельности в сфере промышленности).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16"/>
          <w:szCs w:val="16"/>
          <w:highlight w:val="none"/>
        </w:rPr>
      </w:pPr>
      <w:r>
        <w:rPr>
          <w:rFonts w:ascii="PT Astra Serif" w:hAnsi="PT Astra Serif" w:cs="Courier New"/>
          <w:sz w:val="16"/>
          <w:szCs w:val="16"/>
          <w:highlight w:val="none"/>
        </w:rPr>
      </w:r>
      <w:r>
        <w:rPr>
          <w:rFonts w:ascii="PT Astra Serif" w:hAnsi="PT Astra Serif" w:cs="Courier New"/>
          <w:sz w:val="16"/>
          <w:szCs w:val="16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Представитель субъекта инвестиционной деятельности (инвестора)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________________________________________________________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       (Подпись)            (Фамилия, имя, отчество (последнее - при наличии))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68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Печать (при наличии)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br w:type="page" w:clear="all"/>
      </w:r>
      <w:r/>
    </w:p>
    <w:p>
      <w:pPr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</w:r>
      <w:r>
        <w:rPr>
          <w:rFonts w:ascii="PT Astra Serif" w:hAnsi="PT Astra Serif" w:cs="Courier New"/>
          <w:sz w:val="28"/>
          <w:szCs w:val="28"/>
          <w:highlight w:val="none"/>
        </w:rPr>
      </w:r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Приложение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№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 2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к Порядку рассмотрения заявления о предоставлении государственной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поддержки в форме дополнительных налоговых льгот субъектам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инвестиционной деятельности и критериям отбора инвесторов,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left="4933" w:firstLine="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имеющих право на получение дополнительных налоговых льгот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ind w:left="4933" w:firstLine="0"/>
        <w:jc w:val="both"/>
        <w:rPr>
          <w:rFonts w:ascii="PT Astra Serif" w:hAnsi="PT Astra Serif"/>
          <w:sz w:val="16"/>
          <w:szCs w:val="16"/>
          <w:highlight w:val="none"/>
        </w:rPr>
      </w:pPr>
      <w:r>
        <w:rPr>
          <w:rFonts w:ascii="PT Astra Serif" w:hAnsi="PT Astra Serif"/>
          <w:sz w:val="16"/>
          <w:szCs w:val="16"/>
          <w:highlight w:val="none"/>
        </w:rPr>
      </w:r>
      <w:r>
        <w:rPr>
          <w:rFonts w:ascii="PT Astra Serif" w:hAnsi="PT Astra Serif"/>
          <w:sz w:val="16"/>
          <w:szCs w:val="16"/>
          <w:highlight w:val="none"/>
        </w:rPr>
      </w:r>
    </w:p>
    <w:p>
      <w:pPr>
        <w:pStyle w:val="897"/>
        <w:ind w:left="4933" w:firstLine="0"/>
        <w:jc w:val="both"/>
        <w:rPr>
          <w:rFonts w:ascii="PT Astra Serif" w:hAnsi="PT Astra Serif"/>
          <w:sz w:val="16"/>
          <w:szCs w:val="16"/>
          <w:highlight w:val="none"/>
        </w:rPr>
      </w:pPr>
      <w:r>
        <w:rPr>
          <w:rFonts w:ascii="PT Astra Serif" w:hAnsi="PT Astra Serif"/>
          <w:sz w:val="16"/>
          <w:szCs w:val="16"/>
          <w:highlight w:val="none"/>
        </w:rPr>
      </w:r>
      <w:r>
        <w:rPr>
          <w:rFonts w:ascii="PT Astra Serif" w:hAnsi="PT Astra Serif"/>
          <w:sz w:val="16"/>
          <w:szCs w:val="16"/>
          <w:highlight w:val="none"/>
        </w:rPr>
      </w:r>
      <w:r/>
    </w:p>
    <w:p>
      <w:pPr>
        <w:pStyle w:val="897"/>
        <w:ind w:firstLine="0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PT Astra Serif" w:hAnsi="PT Astra Serif" w:cs="Courier New"/>
          <w:sz w:val="28"/>
          <w:szCs w:val="28"/>
          <w:highlight w:val="none"/>
        </w:rPr>
      </w:pPr>
      <w:r>
        <w:rPr>
          <w:rFonts w:ascii="PT Astra Serif" w:hAnsi="PT Astra Serif" w:cs="Courier New"/>
          <w:sz w:val="28"/>
          <w:szCs w:val="28"/>
          <w:highlight w:val="none"/>
        </w:rPr>
        <w:t xml:space="preserve">Типовая ф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орма</w:t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897"/>
        <w:ind w:firstLine="0"/>
        <w:jc w:val="right"/>
        <w:rPr>
          <w:rFonts w:ascii="PT Astra Serif" w:hAnsi="PT Astra Serif" w:cs="PT Astra Serif"/>
          <w:sz w:val="28"/>
          <w:szCs w:val="28"/>
          <w:highlight w:val="none"/>
        </w:rPr>
        <w:outlineLvl w:val="0"/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Инвестиционное соглашение № _______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16"/>
          <w:szCs w:val="16"/>
          <w:highlight w:val="none"/>
        </w:rPr>
      </w:pPr>
      <w:r>
        <w:rPr>
          <w:rFonts w:ascii="PT Astra Serif" w:hAnsi="PT Astra Serif" w:cs="PT Astra Serif"/>
          <w:sz w:val="16"/>
          <w:szCs w:val="16"/>
          <w:highlight w:val="none"/>
        </w:rPr>
      </w:r>
      <w:r>
        <w:rPr>
          <w:rFonts w:ascii="PT Astra Serif" w:hAnsi="PT Astra Serif" w:cs="PT Astra Serif"/>
          <w:sz w:val="16"/>
          <w:szCs w:val="16"/>
          <w:highlight w:val="none"/>
        </w:rPr>
      </w:r>
      <w:r/>
    </w:p>
    <w:tbl>
      <w:tblPr>
        <w:tblW w:w="0" w:type="auto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531"/>
        <w:gridCol w:w="5896"/>
        <w:gridCol w:w="1644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31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both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__________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(место)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96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644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__________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t xml:space="preserve">(дата)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/>
          </w:p>
        </w:tc>
      </w:tr>
    </w:tbl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Правительство Томской области в лице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заместителя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Председателя Правительства Томской области (по промышленности, инвестиционной политике и имущественным отно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шениям)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__________, действую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щего на основании __________, именуем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дальнейшем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с одной стороны и __________ в лице __________, действующего на основании __________, именуемое(ый) в дальнейшем Исполнитель, с другой стороны, именуемые при совместном упоминании Стороны,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на основании распоряжен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ия Губернатора Томской области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Courier New"/>
          <w:sz w:val="28"/>
          <w:szCs w:val="28"/>
          <w:highlight w:val="none"/>
        </w:rPr>
        <w:t xml:space="preserve">от «____» ___ ___ № ___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«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включении инвестиционного проекта в Реестр инвестиционных проектов Томской области»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заключили настоящее Соглашение о нижеследующем.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 w:cs="PT Astra Serif"/>
          <w:sz w:val="28"/>
          <w:szCs w:val="28"/>
          <w:highlight w:val="none"/>
        </w:rPr>
        <w:outlineLvl w:val="1"/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1. Предмет соглашения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1.1. Реализация инвестиционного проекта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«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__________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(далее - Инвестиционный проект) на территории Томской области в сроки и объемах, заявленных Исполнителем в Инвестиционном проекте.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1.2. Предоставление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Правительством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Исполнителю государственной поддержки в форме дополнительной налоговой льготы по налогу на имущество организаций в отношении имущества, созданного и (или) приобретенного, а также введенного в эксплуатацию в рамках реализации Инвестиционного пр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оекта, в объеме __________ рублей (в размере 50 процентов от суммы налога, зачисляемой в областной бюджет). Льгота по налогу на имущество организаций предоставляется на срок 5 лет, начиная с первого числа месяца, следующего за месяцем ввода в эксплуатацию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имущества. В случае выбытия объектов основных средств, на которые предоставлялась дополнительная налоговая льгота, в течение года с момента ввода их в эксплуатацию ранее предоставленная сумма дополнительной налоговой льготы уплачивается в областной бюджет.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1.3. Порядок предоставления дополнительной налоговой льготы определяется 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begin"/>
      </w:r>
      <w:r>
        <w:rPr>
          <w:rFonts w:ascii="PT Astra Serif" w:hAnsi="PT Astra Serif" w:cs="PT Astra Serif"/>
          <w:sz w:val="28"/>
          <w:szCs w:val="28"/>
          <w:highlight w:val="none"/>
        </w:rPr>
        <w:instrText xml:space="preserve">HYPERLINK https://login.consultant.ru/link/?req=doc&amp;base=RLAW091&amp;n=192747 </w:instrTex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separate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Законом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end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Томской области от 18 марта 2003 года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№ 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30-ОЗ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«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 предоставлении дополнительных налоговых льгот организациям, осуществляющим инвестиционную деятельность на территории Томской области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и постановлением Администрации Томской области от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26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августа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20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14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№ 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308а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«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 Порядке предоставления государственной поддержки в форме дополнительных налоговых льгот субъектам инвестиционной деятельности и критериях отбора субъектов инвестиционной деятельности, имеющих право на получение дополнительных налоговых льгот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».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18"/>
          <w:szCs w:val="18"/>
          <w:highlight w:val="none"/>
        </w:rPr>
      </w:pPr>
      <w:r>
        <w:rPr>
          <w:rFonts w:ascii="PT Astra Serif" w:hAnsi="PT Astra Serif" w:cs="PT Astra Serif"/>
          <w:sz w:val="18"/>
          <w:szCs w:val="18"/>
          <w:highlight w:val="none"/>
        </w:rPr>
      </w:r>
      <w:r>
        <w:rPr>
          <w:rFonts w:ascii="PT Astra Serif" w:hAnsi="PT Astra Serif" w:cs="PT Astra Serif"/>
          <w:sz w:val="18"/>
          <w:szCs w:val="1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 w:cs="PT Astra Serif"/>
          <w:sz w:val="28"/>
          <w:szCs w:val="28"/>
          <w:highlight w:val="none"/>
        </w:rPr>
        <w:outlineLvl w:val="1"/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2.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равительство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имеет право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2.1. Осуществлять контроль за выполнением Исполнителем работ по реализации Инвестиционного проекта.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2.2. Направлять Исполнителю письменные запросы, касающиеся выполнения условий реализации Инвестиционного проекта.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2.3. В случае недостижения Исполнителем более чем на 10 процентов в меньшую сторону планового значения показателей, указанных в приложении 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№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1 к настоящему Соглашению, являющемся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неотъемлемой частью настоящего Соглашения, принимать реш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ения об изменении или об отказе в изменении настоящего Соглашения при рассмотрении Координационным советом по поддержке инвестиционной деятельности и предоставлению государственных гарантий заявления Исполнителя о внесении изменений в настоящее Соглашение.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trike/>
          <w:sz w:val="28"/>
          <w:szCs w:val="28"/>
          <w:highlight w:val="none"/>
        </w:rPr>
      </w:pPr>
      <w:r>
        <w:rPr>
          <w:highlight w:val="none"/>
        </w:rPr>
      </w:r>
      <w:bookmarkStart w:id="0" w:name="Par33"/>
      <w:r>
        <w:rPr>
          <w:highlight w:val="none"/>
        </w:rPr>
      </w:r>
      <w:bookmarkEnd w:id="0"/>
      <w:r>
        <w:rPr>
          <w:rFonts w:ascii="PT Astra Serif" w:hAnsi="PT Astra Serif" w:cs="PT Astra Serif"/>
          <w:sz w:val="28"/>
          <w:szCs w:val="28"/>
          <w:highlight w:val="none"/>
        </w:rPr>
        <w:t xml:space="preserve">2.4. Инициировать расторжение настоящего Соглашения в одностороннем порядке, прекратив предоставление государственной поддержки в форме дополнительной налоговой льготы:</w:t>
      </w:r>
      <w:r>
        <w:rPr>
          <w:rFonts w:ascii="PT Astra Serif" w:hAnsi="PT Astra Serif" w:cs="PT Astra Serif"/>
          <w:strike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в случае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недостижения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Исполнителем более чем на 10 процентов в меньшую сторону планового значения одного из 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begin"/>
      </w:r>
      <w:r>
        <w:rPr>
          <w:rFonts w:ascii="PT Astra Serif" w:hAnsi="PT Astra Serif" w:cs="PT Astra Serif"/>
          <w:sz w:val="28"/>
          <w:szCs w:val="28"/>
          <w:highlight w:val="none"/>
        </w:rPr>
        <w:instrText xml:space="preserve">HYPERLINK https://login.consultant.ru/link/?req=doc&amp;base=RLAW091&amp;n=174956&amp;dst=100338 </w:instrTex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separate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показателей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end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указанных в приложении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№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1 к настоящему Соглашению, являющемся неотъемлемой частью настоящего Соглашения, при отсутствии решения Координационного совета по поддержке инвестиционной деятельности и предоставлению государственных гарантий об изменении настоящего Соглашения;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в случае прекращения осуществления инвестиционной деятельности Исполнителя по решению уполномоченных государственных органов в соответствии с действующим законодательством;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в случае принятия решения о ликвидации, реорганизации Исполнителя (за исключением проведения реорганизации в форме преобразования), введение в отношении инвестора проце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дуры, применяемой в деле о несостоятельности (банкротстве), снятия с учета в качестве налогоплательщика в территориальном органе федерального органа исполнительной власти по Томской области, уполномоченного по контролю и надзору в области налогов и сборов.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97"/>
        <w:ind w:firstLine="0"/>
        <w:jc w:val="center"/>
        <w:rPr>
          <w:rFonts w:ascii="PT Astra Serif" w:hAnsi="PT Astra Serif" w:cs="PT Astra Serif"/>
          <w:sz w:val="28"/>
          <w:szCs w:val="28"/>
          <w:highlight w:val="none"/>
        </w:rPr>
        <w:outlineLvl w:val="1"/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3.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обязуется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3.1. Обеспечить исполнение настоящего Соглашения в соответствии с 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begin"/>
      </w:r>
      <w:r>
        <w:rPr>
          <w:rFonts w:ascii="PT Astra Serif" w:hAnsi="PT Astra Serif" w:cs="PT Astra Serif"/>
          <w:sz w:val="28"/>
          <w:szCs w:val="28"/>
          <w:highlight w:val="none"/>
        </w:rPr>
        <w:instrText xml:space="preserve">HYPERLINK https://login.consultant.ru/link/?req=doc&amp;base=RLAW091&amp;n=192747 </w:instrTex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separate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Законом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end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Томской области от 18 марта 2003 года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№ 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30-ОЗ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«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 предоставлении дополнительных налоговых льгот организациям, осуществляющим инвестиционную деятельность на территории Томской области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и постановлением Администрации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Томской области от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26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августа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2014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№ 308а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 Порядке предоставления государственной поддержки в форме дополнительных налоговых льгот субъектам инвестиционной деятельности и критериях отбора субъектов инвестиционной деятельности, имеющих право на получение дополнительных налоговых льгот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3.2. Осуществлять через Департамент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инвестиционной и промышленной политики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Томской области контроль за представлением Исполнителем письменных отчетов о выполнении работ по реализации Инвестиционного проекта в сроки, установленные пунктом 5.3 настоящего Соглашения, и проверку достоверности сведений, указанных в отчетах.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 w:cs="PT Astra Serif"/>
          <w:sz w:val="28"/>
          <w:szCs w:val="28"/>
          <w:highlight w:val="none"/>
        </w:rPr>
        <w:outlineLvl w:val="1"/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4. Исполнитель имеет право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4.1. В установленном порядке и установленный срок получить государственную поддержку в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форме дополнительной налоговой льготы.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highlight w:val="none"/>
        </w:rPr>
      </w:r>
      <w:bookmarkStart w:id="1" w:name="Par45"/>
      <w:r>
        <w:rPr>
          <w:highlight w:val="none"/>
        </w:rPr>
      </w:r>
      <w:bookmarkEnd w:id="1"/>
      <w:r>
        <w:rPr>
          <w:rFonts w:ascii="PT Astra Serif" w:hAnsi="PT Astra Serif" w:cs="PT Astra Serif"/>
          <w:sz w:val="28"/>
          <w:szCs w:val="28"/>
          <w:highlight w:val="none"/>
        </w:rPr>
        <w:t xml:space="preserve">4.2. Расторгнуть настоящее Соглашение в одностороннем порядке в случае принятия Исполнителем решения о реализации Инвестиционного проекта без поддержки со стороны органов государственной власти Томской области, уведомив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за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30 календарных дней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до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дня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расторжения настоящего Соглашения.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 w:cs="PT Astra Serif"/>
          <w:sz w:val="28"/>
          <w:szCs w:val="28"/>
          <w:highlight w:val="none"/>
        </w:rPr>
        <w:outlineLvl w:val="1"/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5. Исполнитель обязуется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5.1. Соблюдать условия настоящего Соглашения.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5.2. Достичь 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begin"/>
      </w:r>
      <w:r>
        <w:rPr>
          <w:rFonts w:ascii="PT Astra Serif" w:hAnsi="PT Astra Serif" w:cs="PT Astra Serif"/>
          <w:sz w:val="28"/>
          <w:szCs w:val="28"/>
          <w:highlight w:val="none"/>
        </w:rPr>
        <w:instrText xml:space="preserve">HYPERLINK https://login.consultant.ru/link/?req=doc&amp;base=RLAW091&amp;n=174956&amp;dst=100338 </w:instrTex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separate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показатели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end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реализации Инвестиционного проекта, определенные в приложении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№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1 к настоящему Соглашению, с возможным допустимым отклонением от плановых значений показателей реализации Инвестиционного проекта в меньшую сторону не более 10 процентов.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highlight w:val="none"/>
        </w:rPr>
      </w:r>
      <w:bookmarkStart w:id="2" w:name="Par51"/>
      <w:r>
        <w:rPr>
          <w:highlight w:val="none"/>
        </w:rPr>
      </w:r>
      <w:bookmarkEnd w:id="2"/>
      <w:r>
        <w:rPr>
          <w:rFonts w:ascii="PT Astra Serif" w:hAnsi="PT Astra Serif" w:cs="PT Astra Serif"/>
          <w:sz w:val="28"/>
          <w:szCs w:val="28"/>
          <w:highlight w:val="none"/>
        </w:rPr>
        <w:t xml:space="preserve">5.3. Представлять в Департамент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инвестиционной и промышленной политики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Томской области письменные 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begin"/>
      </w:r>
      <w:r>
        <w:rPr>
          <w:rFonts w:ascii="PT Astra Serif" w:hAnsi="PT Astra Serif" w:cs="PT Astra Serif"/>
          <w:sz w:val="28"/>
          <w:szCs w:val="28"/>
          <w:highlight w:val="none"/>
        </w:rPr>
        <w:instrText xml:space="preserve">HYPERLINK https://login.consultant.ru/link/?req=doc&amp;base=RLAW091&amp;n=174956&amp;dst=100350 </w:instrTex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separate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отчеты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end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о выполнении работ по реализации Инвестиционного проекта в срок до 30-го числа месяца, следующего за истекшим кварталом, по состоянию на 1 апреля, 1 июля, 1 октября и 1 января текущего финансового года по форме согласно приложению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№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2 к настоящему Соглашению.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5.4. Не позднее 5 календарных дней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со дня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получения запроса от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о выполнении условий реализации Инвестиционного проекта и (или) запроса от Департамента инвестиционной и промышленной политики Томской области о ходе реализации Инвестиционного проекта представлять письменный ответ на указанные в настоящем пункте запросы.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5.5.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период оказания государственной поддержки 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нформировать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и Департамент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инвестиционной и промышленной политики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Томской области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прекращени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осуществления инвестиционной деятельности Исполнителем по решению уполномоченных государственных органов в соответствии с действующим законодательством;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приняти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решения о ликвидации, реорганизации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Исполнителя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(за исключением проведения реорганизации в форме преобразования), введение в отношении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Исполнителя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процедуры, применяемой в деле о несостоятельности (банкротстве), 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сняти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с учета в качестве налогоплательщика в территориальном органе федерального органа исполнительной власти по Томской области, уполномоченного по контролю и надзору в области налогов и сборов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не позднее 3 дней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рабочих дней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со дня наступления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вышеуказанных обстоятельств.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5.6.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случае смены места постановки на налоговый учет в другом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субъекте Российской Федерации до истечения трехлетнего срока с момента окончания действия налоговых льгот, предусмотренных настоящим Соглашением: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информировать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осредством почтового отп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или по электронной почте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Правительство и Департамент инвестиционной и промышленной политики Томской области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смене места постановки на налоговый учет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не позднее 3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рабочих дней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со дня снятия с учета в качестве налогоплательщика в территориальном органе федерального органа исполнительной власти по Томской области, уполномоченного по контролю и надзору в области налогов и сборов;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исчислить и уплатить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сумму налога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областной бюджет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без учета применения налоговой льготы, предусмотренной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Законом Томской области от 18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марта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2003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№ 30-ОЗ «О предоставлении дополнительных налоговых льгот организациям, осуществляющим инвестиционную деятельность на территории Томской области»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за весь период применения налоговой льготы.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Исчисленная сумма налога подлежит уплате исполнителем по истечении отчетного или налогового периода, в котором исполнитель изменил место постановки на налоговый учет, не позднее сроков, установленны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х для уплаты авансовых платежей по налогу за отчетный период или налога за налоговый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период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t xml:space="preserve">;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подтвердить факт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исполнения обязательства по уплате суммы налога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областной бюджета, предусмотренного абзацем третьим настоящего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пункта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, путем предоставления в Департамент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при личном обращении,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осредством почтового отп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равления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или электронной почты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копии платежного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документа и копии налоговой декларации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(копии расчета) с отметкой налогового органа о принятии (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при подаче налоговой декларации (расчета) на бумажном носителе)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ли с приложением квитанции о приеме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налоговой декларации (расчета)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 электронной форме (при подаче налоговой декларации (расчета) по телекоммуникационным каналам связи или через личный кабинет налогоплате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льщика)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в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ч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5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р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б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ч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х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е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й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д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я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у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ы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с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у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м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м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ы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л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г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.</w:t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PT Astra Serif" w:hAnsi="PT Astra Serif" w:cs="PT Astra Serif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>
        <w:rPr>
          <w:rFonts w:ascii="PT Astra Serif" w:hAnsi="PT Astra Serif" w:cs="PT Astra Serif"/>
          <w:sz w:val="28"/>
          <w:szCs w:val="28"/>
          <w:highlight w:val="none"/>
          <w14:ligatures w14:val="none"/>
        </w:rPr>
      </w:r>
      <w:r/>
    </w:p>
    <w:p>
      <w:pPr>
        <w:pStyle w:val="897"/>
        <w:ind w:firstLine="0"/>
        <w:jc w:val="center"/>
        <w:rPr>
          <w:rFonts w:ascii="PT Astra Serif" w:hAnsi="PT Astra Serif" w:cs="PT Astra Serif"/>
          <w:sz w:val="28"/>
          <w:szCs w:val="28"/>
          <w:highlight w:val="none"/>
        </w:rPr>
        <w:outlineLvl w:val="1"/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6. Заключительные и переходные положения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6.1. Настоящее Соглашение вступает в силу с даты его подписания и действует до полного исполнения Сторонами своих обязательств.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6.2. Стороны вправе расторгнуть настоящее Соглашение в одностороннем порядке в случаях, указан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ных в пунктах 2.4 и 4.2. настоящего Соглашения, а также иных случаях, установленных законодательном Российской Федерации, уведомив об этом другую Сторону в п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исьменной форме не менее чем за 30 (тридцать) календарных дней до даты предполагаемого расторжения.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Уведомление о расторжении направляется заказным письмом с уведомлением о вручении по адресу Стороны, указанному в разделе «Стороны» настоящего Соглашения, либо иным способом, п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озволяющим подтвердить факт и дату получения (например, курьерской службой с отметкой о вручении, нарочным под роспись). В случаях направления уведомления по почте заказным письмом датой его получения считается шестой день со дня отправки заказного письма.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6.3. Настоящее Соглашение прекращает свое действие по истечении срока, указанного в п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ункте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6.2. настоящего Соглашения с момента получения уведомления, если в самом уведомлении не указана иная дата прекращения Соглашения.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6.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4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. Настоящее Соглашение составлено в двух экземплярах, обладающих равной юридической силой, по одному для каждой из Сторон.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6.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5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. Стороны примут все меры для досудебного урегулирования споров, возникших из настоящего Соглашения. В случае недостижения согласия споры рассматриваются в Арбитражном суде Томской области.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6.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6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. Неотъемлемой частью настоящего Соглашения являются следующие его приложения: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1) приложение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№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1 - 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begin"/>
      </w:r>
      <w:r>
        <w:rPr>
          <w:rFonts w:ascii="PT Astra Serif" w:hAnsi="PT Astra Serif" w:cs="PT Astra Serif"/>
          <w:sz w:val="28"/>
          <w:szCs w:val="28"/>
          <w:highlight w:val="none"/>
        </w:rPr>
        <w:instrText xml:space="preserve">HYPERLINK https://login.consultant.ru/link/?req=doc&amp;base=RLAW091&amp;n=174956&amp;dst=100338 </w:instrTex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separate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показатели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end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реализации инвестиционного проекта;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2) приложение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№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2 - форма 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begin"/>
      </w:r>
      <w:r>
        <w:rPr>
          <w:rFonts w:ascii="PT Astra Serif" w:hAnsi="PT Astra Serif" w:cs="PT Astra Serif"/>
          <w:sz w:val="28"/>
          <w:szCs w:val="28"/>
          <w:highlight w:val="none"/>
        </w:rPr>
        <w:instrText xml:space="preserve">HYPERLINK https://login.consultant.ru/link/?req=doc&amp;base=RLAW091&amp;n=174956&amp;dst=100350 </w:instrTex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separate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отчета</w:t>
      </w:r>
      <w:r>
        <w:rPr>
          <w:rFonts w:ascii="PT Astra Serif" w:hAnsi="PT Astra Serif" w:cs="PT Astra Serif"/>
          <w:sz w:val="28"/>
          <w:szCs w:val="28"/>
          <w:highlight w:val="none"/>
        </w:rPr>
        <w:fldChar w:fldCharType="end"/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о выполнении работ по реализации инвестиционного проекта.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54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6.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7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. По вопросам неурегулированным настоящим Соглашением, в том числе в части изменения и расторжения Соглашения, стороны руководствуются положениями действующего законодательства, в том числе постановлением Администрации Томской области от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26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августа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2014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года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 № 308а 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color w:val="000000"/>
          <w:sz w:val="28"/>
          <w:szCs w:val="28"/>
          <w:highlight w:val="none"/>
        </w:rPr>
        <w:t xml:space="preserve">О Порядке предоставления государственной поддержки в форме дополнительных налоговых льгот субъектам инвестиционной деятельности и критериях отбора субъектов инвестиционной деятельности, имеющих право на получение дополнительных налоговых льгот</w:t>
      </w:r>
      <w:r>
        <w:rPr>
          <w:rFonts w:ascii="PT Astra Serif" w:hAnsi="PT Astra Serif" w:cs="PT Astra Serif"/>
          <w:sz w:val="28"/>
          <w:szCs w:val="28"/>
          <w:highlight w:val="none"/>
        </w:rPr>
        <w:t xml:space="preserve">».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 w:cs="PT Astra Serif"/>
          <w:sz w:val="28"/>
          <w:szCs w:val="28"/>
          <w:highlight w:val="none"/>
        </w:rPr>
        <w:outlineLvl w:val="1"/>
      </w:pPr>
      <w:r>
        <w:rPr>
          <w:rFonts w:ascii="PT Astra Serif" w:hAnsi="PT Astra Serif" w:cs="PT Astra Serif"/>
          <w:sz w:val="28"/>
          <w:szCs w:val="28"/>
          <w:highlight w:val="none"/>
        </w:rPr>
        <w:t xml:space="preserve">7. Стороны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</w:p>
    <w:p>
      <w:pPr>
        <w:pStyle w:val="914"/>
        <w:ind w:left="5387"/>
        <w:rPr>
          <w:rFonts w:ascii="PT Astra Serif" w:hAnsi="PT Astra Serif" w:cs="Courier New"/>
          <w:sz w:val="28"/>
          <w:szCs w:val="28"/>
          <w:highlight w:val="none"/>
        </w:rPr>
        <w:outlineLvl w:val="2"/>
      </w:pPr>
      <w:r>
        <w:rPr>
          <w:rFonts w:ascii="PT Astra Serif" w:hAnsi="PT Astra Serif" w:cs="Courier New"/>
          <w:sz w:val="28"/>
          <w:szCs w:val="28"/>
          <w:highlight w:val="none"/>
        </w:rPr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tbl>
      <w:tblPr>
        <w:tblW w:w="9735" w:type="dxa"/>
        <w:tblInd w:w="0" w:type="dxa"/>
        <w:shd w:val="clear" w:color="auto" w:fill="ffffff"/>
        <w:tblLayout w:type="autofit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5085"/>
        <w:gridCol w:w="4650"/>
      </w:tblGrid>
      <w:tr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18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Правительство: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Правительство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 Томской области,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634050, г. Томск, пл. Ленина, 6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17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Исполнитель: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________________________________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________________________________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18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Заместитель Председателя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Правительства Томской области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(по промышленности,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инвестиционной политике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и имущественным отношениям)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______________________________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(Фамилия, имя, отчество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(последнее - при наличии)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17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_________________________________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(Фамилия, имя, отчество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(последнее - при наличии)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18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М.П. (При наличии)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17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М.П. (При наличии)»;</w:t>
            </w: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</w:r>
            <w:r/>
          </w:p>
        </w:tc>
      </w:tr>
    </w:tbl>
    <w:p>
      <w:pPr>
        <w:pStyle w:val="914"/>
        <w:ind w:left="5387"/>
        <w:rPr>
          <w:rFonts w:ascii="PT Astra Serif" w:hAnsi="PT Astra Serif" w:cs="Courier New"/>
          <w:sz w:val="28"/>
          <w:szCs w:val="28"/>
          <w:highlight w:val="none"/>
        </w:rPr>
        <w:outlineLvl w:val="2"/>
      </w:pPr>
      <w:r>
        <w:rPr>
          <w:rFonts w:ascii="PT Astra Serif" w:hAnsi="PT Astra Serif" w:cs="Courier New"/>
          <w:sz w:val="28"/>
          <w:szCs w:val="28"/>
          <w:highlight w:val="none"/>
        </w:rPr>
      </w:r>
      <w:r>
        <w:rPr>
          <w:rFonts w:ascii="PT Astra Serif" w:hAnsi="PT Astra Serif" w:cs="Courier New"/>
          <w:sz w:val="28"/>
          <w:szCs w:val="28"/>
          <w:highlight w:val="none"/>
        </w:rPr>
      </w:r>
      <w:r/>
    </w:p>
    <w:p>
      <w:pPr>
        <w:pStyle w:val="914"/>
        <w:ind w:left="5387"/>
        <w:rPr>
          <w:rFonts w:ascii="PT Astra Serif" w:hAnsi="PT Astra Serif"/>
          <w:sz w:val="28"/>
          <w:szCs w:val="28"/>
          <w:highlight w:val="none"/>
        </w:rPr>
        <w:outlineLvl w:val="2"/>
      </w:pPr>
      <w:r>
        <w:rPr>
          <w:rFonts w:ascii="PT Astra Serif" w:hAnsi="PT Astra Serif" w:cs="Courier New"/>
          <w:sz w:val="28"/>
          <w:szCs w:val="28"/>
          <w:highlight w:val="none"/>
        </w:rPr>
        <w:br w:type="page" w:clear="all"/>
      </w:r>
      <w:r>
        <w:rPr>
          <w:rFonts w:ascii="PT Astra Serif" w:hAnsi="PT Astra Serif"/>
          <w:sz w:val="28"/>
          <w:szCs w:val="28"/>
          <w:highlight w:val="none"/>
          <w:lang w:eastAsia="ru-RU"/>
        </w:rPr>
        <w:t xml:space="preserve">Приложение </w:t>
      </w:r>
      <w:r>
        <w:rPr>
          <w:rFonts w:ascii="PT Astra Serif" w:hAnsi="PT Astra Serif"/>
          <w:sz w:val="28"/>
          <w:szCs w:val="28"/>
          <w:highlight w:val="none"/>
          <w:lang w:eastAsia="ru-RU"/>
        </w:rPr>
        <w:t xml:space="preserve">№</w:t>
      </w:r>
      <w:r>
        <w:rPr>
          <w:rFonts w:ascii="PT Astra Serif" w:hAnsi="PT Astra Serif"/>
          <w:sz w:val="28"/>
          <w:szCs w:val="28"/>
          <w:highlight w:val="none"/>
          <w:lang w:eastAsia="ru-RU"/>
        </w:rPr>
        <w:t xml:space="preserve"> 1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left="5387"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к инвестиционному соглашению 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Форма 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Показатели реализации инвестиционного проекта 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sz w:val="28"/>
          <w:szCs w:val="28"/>
          <w:highlight w:val="none"/>
        </w:rPr>
        <w:t xml:space="preserve">_____________________</w:t>
      </w:r>
      <w:r>
        <w:rPr>
          <w:rFonts w:ascii="PT Astra Serif" w:hAnsi="PT Astra Serif"/>
          <w:sz w:val="28"/>
          <w:szCs w:val="28"/>
          <w:highlight w:val="none"/>
        </w:rPr>
        <w:t xml:space="preserve">»</w:t>
      </w:r>
      <w:r>
        <w:rPr>
          <w:rFonts w:ascii="PT Astra Serif" w:hAnsi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(указывается наименование инвестиционного проекта) 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/>
          <w:sz w:val="28"/>
          <w:szCs w:val="28"/>
          <w:highlight w:val="none"/>
        </w:rPr>
      </w:r>
      <w:r/>
    </w:p>
    <w:tbl>
      <w:tblPr>
        <w:tblW w:w="9030" w:type="dxa"/>
        <w:tblInd w:w="15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418"/>
        <w:gridCol w:w="2204"/>
        <w:gridCol w:w="441"/>
        <w:gridCol w:w="441"/>
        <w:gridCol w:w="441"/>
        <w:gridCol w:w="441"/>
        <w:gridCol w:w="444"/>
        <w:gridCol w:w="2200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18" w:type="auto"/>
            <w:vAlign w:val="center"/>
            <w:vMerge w:val="restart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Показатель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4" w:type="auto"/>
            <w:vAlign w:val="center"/>
            <w:vMerge w:val="restart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На начало реализации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инвестиционного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проекта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8" w:type="auto"/>
            <w:vAlign w:val="center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Период реализации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 инвестиционного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 проекта &lt;*&gt;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0" w:type="auto"/>
            <w:vAlign w:val="center"/>
            <w:vMerge w:val="restart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На конец реализации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инвестиционного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проекта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18" w:type="auto"/>
            <w:vAlign w:val="center"/>
            <w:vMerge w:val="continue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4" w:type="auto"/>
            <w:vAlign w:val="center"/>
            <w:vMerge w:val="continue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center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center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center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center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4" w:type="auto"/>
            <w:vAlign w:val="center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0" w:type="auto"/>
            <w:vAlign w:val="center"/>
            <w:vMerge w:val="continue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18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Первоначальная стоимость объектов основных средств по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инвестиционному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проекту, тыс. руб.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18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Среднемесячная начисленная заработная плата в организации, руб.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18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Среднемесячная начисленная заработная плата по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инвестиционному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проекту, руб.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18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Среднесписочная численность работников организации, чел.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18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Количество созданных рабочих мест по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инвестиционному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проекту, ед.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1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44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</w:tbl>
    <w:p>
      <w:pPr>
        <w:pStyle w:val="897"/>
        <w:ind w:firstLine="540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-------------------------------- 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539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&lt;*&gt; Период реализации </w:t>
      </w:r>
      <w:r>
        <w:rPr>
          <w:rFonts w:ascii="PT Astra Serif" w:hAnsi="PT Astra Serif"/>
          <w:sz w:val="28"/>
          <w:szCs w:val="28"/>
          <w:highlight w:val="none"/>
        </w:rPr>
        <w:t xml:space="preserve">инвестиционного </w:t>
      </w:r>
      <w:r>
        <w:rPr>
          <w:rFonts w:ascii="PT Astra Serif" w:hAnsi="PT Astra Serif"/>
          <w:sz w:val="28"/>
          <w:szCs w:val="28"/>
          <w:highlight w:val="none"/>
        </w:rPr>
        <w:t xml:space="preserve">проекта заполняется для показателя </w:t>
      </w:r>
      <w:r>
        <w:rPr>
          <w:rFonts w:ascii="PT Astra Serif" w:hAnsi="PT Astra Serif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sz w:val="28"/>
          <w:szCs w:val="28"/>
          <w:highlight w:val="none"/>
        </w:rPr>
        <w:t xml:space="preserve">Первоначальная стоимость объектов основных средств по </w:t>
      </w:r>
      <w:r>
        <w:rPr>
          <w:rFonts w:ascii="PT Astra Serif" w:hAnsi="PT Astra Serif"/>
          <w:sz w:val="28"/>
          <w:szCs w:val="28"/>
          <w:highlight w:val="none"/>
        </w:rPr>
        <w:t xml:space="preserve">инвестиционному </w:t>
      </w:r>
      <w:r>
        <w:rPr>
          <w:rFonts w:ascii="PT Astra Serif" w:hAnsi="PT Astra Serif"/>
          <w:sz w:val="28"/>
          <w:szCs w:val="28"/>
          <w:highlight w:val="none"/>
        </w:rPr>
        <w:t xml:space="preserve">проекту, тыс. руб.</w:t>
      </w:r>
      <w:r>
        <w:rPr>
          <w:rFonts w:ascii="PT Astra Serif" w:hAnsi="PT Astra Serif"/>
          <w:sz w:val="28"/>
          <w:szCs w:val="28"/>
          <w:highlight w:val="none"/>
        </w:rPr>
        <w:t xml:space="preserve">»</w:t>
      </w:r>
      <w:r>
        <w:rPr>
          <w:rFonts w:ascii="PT Astra Serif" w:hAnsi="PT Astra Serif"/>
          <w:sz w:val="28"/>
          <w:szCs w:val="28"/>
          <w:highlight w:val="none"/>
        </w:rPr>
        <w:t xml:space="preserve"> с указанием планового значения на 1 января каждого года реализации проекта, для остальных показателей - с указанием плановых значений по кварталам. 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897"/>
        <w:ind w:firstLine="0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tbl>
      <w:tblPr>
        <w:tblW w:w="9075" w:type="dxa"/>
        <w:tblInd w:w="15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900"/>
        <w:gridCol w:w="490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Правительство: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Правительство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Томской области,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634050, г. Томск, пл. Ленина, 6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Исполнитель: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___________________________________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___________________________________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Заместитель Председателя</w:t>
            </w:r>
            <w:r>
              <w:rPr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Правительства Томской области</w:t>
            </w:r>
            <w:r>
              <w:rPr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(по промышленности,</w:t>
            </w:r>
            <w:r>
              <w:rPr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инвестиционной политике</w:t>
            </w:r>
            <w:r>
              <w:rPr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color w:val="22272f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и имущественным отношениям)</w:t>
            </w:r>
            <w:r>
              <w:rPr>
                <w:rFonts w:ascii="PT Astra Serif" w:hAnsi="PT Astra Serif"/>
                <w:color w:val="22272f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00" w:type="auto"/>
            <w:vAlign w:val="center"/>
            <w:textDirection w:val="lrTb"/>
            <w:noWrap w:val="false"/>
          </w:tcPr>
          <w:p>
            <w:pPr>
              <w:pStyle w:val="897"/>
              <w:ind w:firstLine="0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 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___________________________________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(Фамилия, имя, отчество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(последнее - при наличии)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___________________________________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(Фамилия, имя, отчество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(последнее - при наличии)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М.П. (При наличии)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00" w:type="auto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М.П. (При наличии)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</w:tbl>
    <w:p>
      <w:pPr>
        <w:pStyle w:val="914"/>
        <w:ind w:left="5387"/>
        <w:rPr>
          <w:rFonts w:ascii="PT Astra Serif" w:hAnsi="PT Astra Serif"/>
          <w:sz w:val="28"/>
          <w:szCs w:val="28"/>
          <w:highlight w:val="none"/>
        </w:rPr>
        <w:outlineLvl w:val="2"/>
      </w:pPr>
      <w:r>
        <w:rPr>
          <w:rFonts w:ascii="PT Astra Serif" w:hAnsi="PT Astra Serif"/>
          <w:sz w:val="28"/>
          <w:szCs w:val="28"/>
          <w:highlight w:val="none"/>
        </w:rPr>
        <w:br w:type="page" w:clear="all"/>
      </w:r>
      <w:r>
        <w:rPr>
          <w:rFonts w:ascii="PT Astra Serif" w:hAnsi="PT Astra Serif"/>
          <w:sz w:val="28"/>
          <w:szCs w:val="28"/>
          <w:highlight w:val="none"/>
        </w:rPr>
        <w:t xml:space="preserve">Приложение № 2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ind w:left="5387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к инвестиционному соглашению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Отчет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о выполнении работ по реализации инвестиционного проекта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«</w:t>
      </w:r>
      <w:r>
        <w:rPr>
          <w:rFonts w:ascii="PT Astra Serif" w:hAnsi="PT Astra Serif"/>
          <w:sz w:val="28"/>
          <w:szCs w:val="28"/>
          <w:highlight w:val="none"/>
        </w:rPr>
        <w:t xml:space="preserve">_______________________________________________</w:t>
      </w:r>
      <w:r>
        <w:rPr>
          <w:rFonts w:ascii="PT Astra Serif" w:hAnsi="PT Astra Serif"/>
          <w:sz w:val="28"/>
          <w:szCs w:val="28"/>
          <w:highlight w:val="none"/>
        </w:rPr>
        <w:t xml:space="preserve">»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по состоянию на ______________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jc w:val="center"/>
        <w:rPr>
          <w:rFonts w:ascii="PT Astra Serif" w:hAnsi="PT Astra Serif"/>
          <w:sz w:val="28"/>
          <w:szCs w:val="28"/>
          <w:highlight w:val="none"/>
        </w:rPr>
        <w:outlineLvl w:val="3"/>
      </w:pPr>
      <w:r>
        <w:rPr>
          <w:rFonts w:ascii="PT Astra Serif" w:hAnsi="PT Astra Serif"/>
          <w:sz w:val="28"/>
          <w:szCs w:val="28"/>
          <w:highlight w:val="none"/>
        </w:rPr>
        <w:t xml:space="preserve">Этапы выполнения работ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по инвестиционному проекту (бизнес-плану) за отчетный период</w:t>
      </w:r>
      <w:r>
        <w:rPr>
          <w:rFonts w:ascii="PT Astra Serif" w:hAnsi="PT Astra Serif"/>
          <w:sz w:val="28"/>
          <w:szCs w:val="28"/>
          <w:highlight w:val="none"/>
        </w:rPr>
      </w:r>
      <w:r/>
    </w:p>
    <w:tbl>
      <w:tblPr>
        <w:tblW w:w="0" w:type="auto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742"/>
        <w:gridCol w:w="1077"/>
        <w:gridCol w:w="1134"/>
        <w:gridCol w:w="1531"/>
        <w:gridCol w:w="1531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2" w:type="dxa"/>
            <w:vAlign w:val="center"/>
            <w:vMerge w:val="restart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Наименование работ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1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Срок выполнения работ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62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Первоначальная стоимость объектов основных средств по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инвестиционному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проекту, тыс. руб.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2" w:type="dxa"/>
            <w:vAlign w:val="top"/>
            <w:vMerge w:val="continue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план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факт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план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факт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2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1.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2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2.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2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...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2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Итого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1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</w:tbl>
    <w:p>
      <w:pPr>
        <w:pStyle w:val="914"/>
        <w:jc w:val="both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jc w:val="center"/>
        <w:rPr>
          <w:rFonts w:ascii="PT Astra Serif" w:hAnsi="PT Astra Serif"/>
          <w:sz w:val="28"/>
          <w:szCs w:val="28"/>
          <w:highlight w:val="none"/>
        </w:rPr>
        <w:outlineLvl w:val="3"/>
      </w:pPr>
      <w:r>
        <w:rPr>
          <w:rFonts w:ascii="PT Astra Serif" w:hAnsi="PT Astra Serif"/>
          <w:sz w:val="28"/>
          <w:szCs w:val="28"/>
          <w:highlight w:val="none"/>
        </w:rPr>
        <w:t xml:space="preserve">Динамика показателей реализации инвестиционного проекта</w:t>
      </w:r>
      <w:r>
        <w:rPr>
          <w:rFonts w:ascii="PT Astra Serif" w:hAnsi="PT Astra Serif"/>
          <w:sz w:val="28"/>
          <w:szCs w:val="28"/>
          <w:highlight w:val="none"/>
        </w:rPr>
      </w:r>
      <w:r/>
    </w:p>
    <w:p>
      <w:pPr>
        <w:pStyle w:val="914"/>
        <w:jc w:val="center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и параметров инвестиционного проекта</w:t>
      </w:r>
      <w:r>
        <w:rPr>
          <w:rFonts w:ascii="PT Astra Serif" w:hAnsi="PT Astra Serif"/>
          <w:sz w:val="28"/>
          <w:szCs w:val="28"/>
          <w:highlight w:val="none"/>
        </w:rPr>
      </w:r>
      <w:r/>
    </w:p>
    <w:tbl>
      <w:tblPr>
        <w:tblW w:w="0" w:type="auto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59"/>
        <w:gridCol w:w="964"/>
        <w:gridCol w:w="964"/>
        <w:gridCol w:w="964"/>
        <w:gridCol w:w="964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Период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На 01.04.__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На 01.07.__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На 01.10.__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На 01.01.__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1. Стоимость объектов основных средств организации, тыс. руб., в том числе: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ind w:firstLine="283"/>
              <w:jc w:val="both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- первоначальная стоимость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ind w:firstLine="283"/>
              <w:jc w:val="both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- балансовая (остаточная) стоимость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2. Стоимость объектов основных средств по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инвестиционному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проекту, тыс. руб., в том числе: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ind w:firstLine="283"/>
              <w:jc w:val="both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- первоначальная стоимость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ind w:firstLine="283"/>
              <w:jc w:val="both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- балансовая (остаточная) стоимость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3. Среднемесячная начисленная заработная плата в организации (за отчетный период), руб.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4. Среднемесячная начисленная заработная плата по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инвестиционному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проекту (за отчетный период), руб.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5. Среднесписочная численность работников организации (за отчетный период), чел.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6. Количество созданных рабочих мест по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инвестиционному 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проекту, ед.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5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7. Сумма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тыс. руб.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Всего за период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в том числе (указываются суммы по видам платежей):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8. Сумма дополнительных налоговых льгот по налогу на имущество организации за ______ год, которыми воспользовался Исполнитель, тыс. руб.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5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9. Производство продукции: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- в тыс. руб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>
          <w:trHeight w:val="3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- в ед.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9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10. Выручка от реализации продукции (без учета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сборах), тыс. руб.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</w:tbl>
    <w:p>
      <w:pPr>
        <w:pStyle w:val="897"/>
        <w:ind w:firstLine="0"/>
        <w:spacing w:before="2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tbl>
      <w:tblPr>
        <w:tblW w:w="0" w:type="auto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Правительство: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Правительство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 Томской области,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634050, г. Томск, пл. Ленина, 6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Исполнитель: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_______________________________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897"/>
              <w:ind w:firstLine="0"/>
              <w:jc w:val="center"/>
              <w:rPr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Заместитель Председателя</w:t>
            </w:r>
            <w:r>
              <w:rPr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Правительства Томской области</w:t>
            </w:r>
            <w:r>
              <w:rPr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(по промышленности,</w:t>
            </w:r>
            <w:r>
              <w:rPr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инвестиционной политике</w:t>
            </w:r>
            <w:r>
              <w:rPr>
                <w:highlight w:val="none"/>
              </w:rPr>
            </w:r>
            <w:r/>
          </w:p>
          <w:p>
            <w:pPr>
              <w:pStyle w:val="897"/>
              <w:ind w:firstLine="0"/>
              <w:jc w:val="center"/>
              <w:rPr>
                <w:rFonts w:ascii="PT Astra Serif" w:hAnsi="PT Astra Serif"/>
                <w:color w:val="22272f"/>
                <w:highlight w:val="none"/>
              </w:rPr>
            </w:pPr>
            <w:r>
              <w:rPr>
                <w:rFonts w:ascii="PT Astra Serif" w:hAnsi="PT Astra Serif"/>
                <w:color w:val="22272f"/>
                <w:sz w:val="28"/>
                <w:szCs w:val="28"/>
                <w:highlight w:val="none"/>
              </w:rPr>
              <w:t xml:space="preserve">и имущественным отношениям)</w:t>
            </w:r>
            <w:r>
              <w:rPr>
                <w:rFonts w:ascii="PT Astra Serif" w:hAnsi="PT Astra Serif"/>
                <w:color w:val="22272f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5" w:type="dxa"/>
            <w:vAlign w:val="bottom"/>
            <w:textDirection w:val="lrTb"/>
            <w:noWrap w:val="false"/>
          </w:tcPr>
          <w:p>
            <w:pPr>
              <w:pStyle w:val="914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_______________________________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(Фамилия, имя, отчество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(последнее - при наличии)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_______________________________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(Фамилия, имя, отчество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(последнее - при наличии)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М.П. (При наличии)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914"/>
              <w:jc w:val="center"/>
              <w:rPr>
                <w:rFonts w:ascii="PT Astra Serif" w:hAnsi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/>
                <w:sz w:val="28"/>
                <w:szCs w:val="28"/>
                <w:highlight w:val="none"/>
              </w:rPr>
              <w:t xml:space="preserve">М.П. (При наличии)</w:t>
            </w:r>
            <w:r>
              <w:rPr>
                <w:rFonts w:ascii="PT Astra Serif" w:hAnsi="PT Astra Serif"/>
                <w:sz w:val="28"/>
                <w:szCs w:val="28"/>
                <w:highlight w:val="none"/>
              </w:rPr>
            </w:r>
            <w:r/>
          </w:p>
        </w:tc>
      </w:tr>
    </w:tbl>
    <w:p>
      <w:pPr>
        <w:pStyle w:val="897"/>
        <w:ind w:firstLine="0"/>
        <w:spacing w:before="20"/>
        <w:rPr>
          <w:rFonts w:ascii="PT Astra Serif" w:hAnsi="PT Astra Serif"/>
          <w:sz w:val="28"/>
          <w:szCs w:val="28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  <w:r/>
    </w:p>
    <w:sectPr>
      <w:footnotePr/>
      <w:endnotePr/>
      <w:type w:val="nextPage"/>
      <w:pgSz w:w="11906" w:h="16838" w:orient="portrait"/>
      <w:pgMar w:top="993" w:right="851" w:bottom="709" w:left="1701" w:header="567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Verdana">
    <w:panose1 w:val="020B0604030504040204"/>
  </w:font>
  <w:font w:name="MS Sans Serif">
    <w:panose1 w:val="02000603000000000000"/>
  </w:font>
  <w:font w:name="Courier New">
    <w:panose1 w:val="02070309020205020404"/>
  </w:font>
  <w:font w:name="New York">
    <w:panose1 w:val="02000603000000000000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Calibri Light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89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4" w:hanging="37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5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4" w:hanging="37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6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8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0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2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4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6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8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0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24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0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4" w:hanging="885"/>
      </w:p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0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420" w:hanging="420"/>
      </w:pPr>
    </w:lvl>
    <w:lvl w:ilvl="1">
      <w:start w:val="1"/>
      <w:numFmt w:val="decimal"/>
      <w:isLgl w:val="false"/>
      <w:suff w:val="tab"/>
      <w:lvlText w:val="%1-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-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-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-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-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-%2.%3.%4.%5.%6.%7.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-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-%2.%3.%4.%5.%6.%7.%8.%9."/>
      <w:lvlJc w:val="left"/>
      <w:pPr>
        <w:ind w:left="7472" w:hanging="180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338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53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29"/>
  </w:num>
  <w:num w:numId="2">
    <w:abstractNumId w:val="1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4"/>
  </w:num>
  <w:num w:numId="6">
    <w:abstractNumId w:val="5"/>
  </w:num>
  <w:num w:numId="7">
    <w:abstractNumId w:val="24"/>
  </w:num>
  <w:num w:numId="8">
    <w:abstractNumId w:val="30"/>
  </w:num>
  <w:num w:numId="9">
    <w:abstractNumId w:val="15"/>
  </w:num>
  <w:num w:numId="10">
    <w:abstractNumId w:val="21"/>
  </w:num>
  <w:num w:numId="11">
    <w:abstractNumId w:val="33"/>
  </w:num>
  <w:num w:numId="12">
    <w:abstractNumId w:val="20"/>
  </w:num>
  <w:num w:numId="13">
    <w:abstractNumId w:val="27"/>
  </w:num>
  <w:num w:numId="14">
    <w:abstractNumId w:val="11"/>
  </w:num>
  <w:num w:numId="15">
    <w:abstractNumId w:val="3"/>
  </w:num>
  <w:num w:numId="16">
    <w:abstractNumId w:val="23"/>
  </w:num>
  <w:num w:numId="17">
    <w:abstractNumId w:val="9"/>
  </w:num>
  <w:num w:numId="18">
    <w:abstractNumId w:val="13"/>
  </w:num>
  <w:num w:numId="19">
    <w:abstractNumId w:val="17"/>
  </w:num>
  <w:num w:numId="20">
    <w:abstractNumId w:val="8"/>
  </w:num>
  <w:num w:numId="21">
    <w:abstractNumId w:val="7"/>
  </w:num>
  <w:num w:numId="22">
    <w:abstractNumId w:val="0"/>
  </w:num>
  <w:num w:numId="23">
    <w:abstractNumId w:val="12"/>
  </w:num>
  <w:num w:numId="24">
    <w:abstractNumId w:val="32"/>
  </w:num>
  <w:num w:numId="25">
    <w:abstractNumId w:val="28"/>
  </w:num>
  <w:num w:numId="26">
    <w:abstractNumId w:val="10"/>
  </w:num>
  <w:num w:numId="27">
    <w:abstractNumId w:val="19"/>
  </w:num>
  <w:num w:numId="28">
    <w:abstractNumId w:val="1"/>
  </w:num>
  <w:num w:numId="29">
    <w:abstractNumId w:val="22"/>
  </w:num>
  <w:num w:numId="30">
    <w:abstractNumId w:val="26"/>
  </w:num>
  <w:num w:numId="31">
    <w:abstractNumId w:val="14"/>
  </w:num>
  <w:num w:numId="32">
    <w:abstractNumId w:val="18"/>
  </w:num>
  <w:num w:numId="33">
    <w:abstractNumId w:val="6"/>
  </w:num>
  <w:num w:numId="34">
    <w:abstractNumId w:val="2"/>
  </w:num>
  <w:num w:numId="35">
    <w:abstractNumId w:val="25"/>
  </w:num>
  <w:num w:numId="36">
    <w:abstractNumId w:val="34"/>
  </w:num>
  <w:num w:numId="37">
    <w:abstractNumId w:val="35"/>
  </w:num>
  <w:num w:numId="38">
    <w:abstractNumId w:val="36"/>
  </w:num>
  <w:num w:numId="39">
    <w:abstractNumId w:val="37"/>
  </w:num>
  <w:num w:numId="40">
    <w:abstractNumId w:val="38"/>
  </w:num>
  <w:num w:numId="41">
    <w:abstractNumId w:val="39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9">
    <w:name w:val="Heading 1"/>
    <w:basedOn w:val="897"/>
    <w:next w:val="897"/>
    <w:link w:val="72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0">
    <w:name w:val="Heading 1 Char"/>
    <w:link w:val="719"/>
    <w:uiPriority w:val="9"/>
    <w:rPr>
      <w:rFonts w:ascii="Arial" w:hAnsi="Arial" w:eastAsia="Arial" w:cs="Arial"/>
      <w:sz w:val="40"/>
      <w:szCs w:val="40"/>
    </w:rPr>
  </w:style>
  <w:style w:type="paragraph" w:styleId="721">
    <w:name w:val="Heading 2"/>
    <w:basedOn w:val="897"/>
    <w:next w:val="897"/>
    <w:link w:val="72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2">
    <w:name w:val="Heading 2 Char"/>
    <w:link w:val="721"/>
    <w:uiPriority w:val="9"/>
    <w:rPr>
      <w:rFonts w:ascii="Arial" w:hAnsi="Arial" w:eastAsia="Arial" w:cs="Arial"/>
      <w:sz w:val="34"/>
    </w:rPr>
  </w:style>
  <w:style w:type="paragraph" w:styleId="723">
    <w:name w:val="Heading 3"/>
    <w:basedOn w:val="897"/>
    <w:next w:val="897"/>
    <w:link w:val="72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4">
    <w:name w:val="Heading 3 Char"/>
    <w:link w:val="723"/>
    <w:uiPriority w:val="9"/>
    <w:rPr>
      <w:rFonts w:ascii="Arial" w:hAnsi="Arial" w:eastAsia="Arial" w:cs="Arial"/>
      <w:sz w:val="30"/>
      <w:szCs w:val="30"/>
    </w:rPr>
  </w:style>
  <w:style w:type="paragraph" w:styleId="725">
    <w:name w:val="Heading 4"/>
    <w:basedOn w:val="897"/>
    <w:next w:val="897"/>
    <w:link w:val="72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6">
    <w:name w:val="Heading 4 Char"/>
    <w:link w:val="725"/>
    <w:uiPriority w:val="9"/>
    <w:rPr>
      <w:rFonts w:ascii="Arial" w:hAnsi="Arial" w:eastAsia="Arial" w:cs="Arial"/>
      <w:b/>
      <w:bCs/>
      <w:sz w:val="26"/>
      <w:szCs w:val="26"/>
    </w:rPr>
  </w:style>
  <w:style w:type="paragraph" w:styleId="727">
    <w:name w:val="Heading 5"/>
    <w:basedOn w:val="897"/>
    <w:next w:val="897"/>
    <w:link w:val="72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8">
    <w:name w:val="Heading 5 Char"/>
    <w:link w:val="727"/>
    <w:uiPriority w:val="9"/>
    <w:rPr>
      <w:rFonts w:ascii="Arial" w:hAnsi="Arial" w:eastAsia="Arial" w:cs="Arial"/>
      <w:b/>
      <w:bCs/>
      <w:sz w:val="24"/>
      <w:szCs w:val="24"/>
    </w:rPr>
  </w:style>
  <w:style w:type="paragraph" w:styleId="729">
    <w:name w:val="Heading 6"/>
    <w:basedOn w:val="897"/>
    <w:next w:val="897"/>
    <w:link w:val="73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0">
    <w:name w:val="Heading 6 Char"/>
    <w:link w:val="729"/>
    <w:uiPriority w:val="9"/>
    <w:rPr>
      <w:rFonts w:ascii="Arial" w:hAnsi="Arial" w:eastAsia="Arial" w:cs="Arial"/>
      <w:b/>
      <w:bCs/>
      <w:sz w:val="22"/>
      <w:szCs w:val="22"/>
    </w:rPr>
  </w:style>
  <w:style w:type="paragraph" w:styleId="731">
    <w:name w:val="Heading 7"/>
    <w:basedOn w:val="897"/>
    <w:next w:val="897"/>
    <w:link w:val="73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2">
    <w:name w:val="Heading 7 Char"/>
    <w:link w:val="7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3">
    <w:name w:val="Heading 8"/>
    <w:basedOn w:val="897"/>
    <w:next w:val="897"/>
    <w:link w:val="73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4">
    <w:name w:val="Heading 8 Char"/>
    <w:link w:val="733"/>
    <w:uiPriority w:val="9"/>
    <w:rPr>
      <w:rFonts w:ascii="Arial" w:hAnsi="Arial" w:eastAsia="Arial" w:cs="Arial"/>
      <w:i/>
      <w:iCs/>
      <w:sz w:val="22"/>
      <w:szCs w:val="22"/>
    </w:rPr>
  </w:style>
  <w:style w:type="paragraph" w:styleId="735">
    <w:name w:val="Heading 9"/>
    <w:basedOn w:val="897"/>
    <w:next w:val="897"/>
    <w:link w:val="73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6">
    <w:name w:val="Heading 9 Char"/>
    <w:link w:val="735"/>
    <w:uiPriority w:val="9"/>
    <w:rPr>
      <w:rFonts w:ascii="Arial" w:hAnsi="Arial" w:eastAsia="Arial" w:cs="Arial"/>
      <w:i/>
      <w:iCs/>
      <w:sz w:val="21"/>
      <w:szCs w:val="21"/>
    </w:rPr>
  </w:style>
  <w:style w:type="paragraph" w:styleId="737">
    <w:name w:val="List Paragraph"/>
    <w:basedOn w:val="897"/>
    <w:uiPriority w:val="34"/>
    <w:qFormat/>
    <w:pPr>
      <w:contextualSpacing/>
      <w:ind w:left="720"/>
    </w:pPr>
  </w:style>
  <w:style w:type="paragraph" w:styleId="738">
    <w:name w:val="No Spacing"/>
    <w:uiPriority w:val="1"/>
    <w:qFormat/>
    <w:pPr>
      <w:spacing w:before="0" w:after="0" w:line="240" w:lineRule="auto"/>
    </w:pPr>
  </w:style>
  <w:style w:type="paragraph" w:styleId="739">
    <w:name w:val="Title"/>
    <w:basedOn w:val="897"/>
    <w:next w:val="897"/>
    <w:link w:val="7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0">
    <w:name w:val="Title Char"/>
    <w:link w:val="739"/>
    <w:uiPriority w:val="10"/>
    <w:rPr>
      <w:sz w:val="48"/>
      <w:szCs w:val="48"/>
    </w:rPr>
  </w:style>
  <w:style w:type="paragraph" w:styleId="741">
    <w:name w:val="Subtitle"/>
    <w:basedOn w:val="897"/>
    <w:next w:val="897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>
    <w:name w:val="Subtitle Char"/>
    <w:link w:val="741"/>
    <w:uiPriority w:val="11"/>
    <w:rPr>
      <w:sz w:val="24"/>
      <w:szCs w:val="24"/>
    </w:rPr>
  </w:style>
  <w:style w:type="paragraph" w:styleId="743">
    <w:name w:val="Quote"/>
    <w:basedOn w:val="897"/>
    <w:next w:val="897"/>
    <w:link w:val="744"/>
    <w:uiPriority w:val="29"/>
    <w:qFormat/>
    <w:pPr>
      <w:ind w:left="720" w:right="720"/>
    </w:pPr>
    <w:rPr>
      <w:i/>
    </w:rPr>
  </w:style>
  <w:style w:type="character" w:styleId="744">
    <w:name w:val="Quote Char"/>
    <w:link w:val="743"/>
    <w:uiPriority w:val="29"/>
    <w:rPr>
      <w:i/>
    </w:rPr>
  </w:style>
  <w:style w:type="paragraph" w:styleId="745">
    <w:name w:val="Intense Quote"/>
    <w:basedOn w:val="897"/>
    <w:next w:val="897"/>
    <w:link w:val="7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>
    <w:name w:val="Intense Quote Char"/>
    <w:link w:val="745"/>
    <w:uiPriority w:val="30"/>
    <w:rPr>
      <w:i/>
    </w:rPr>
  </w:style>
  <w:style w:type="paragraph" w:styleId="747">
    <w:name w:val="Header"/>
    <w:basedOn w:val="897"/>
    <w:link w:val="7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8">
    <w:name w:val="Header Char"/>
    <w:link w:val="747"/>
    <w:uiPriority w:val="99"/>
  </w:style>
  <w:style w:type="paragraph" w:styleId="749">
    <w:name w:val="Footer"/>
    <w:basedOn w:val="897"/>
    <w:link w:val="7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>
    <w:name w:val="Footer Char"/>
    <w:link w:val="749"/>
    <w:uiPriority w:val="99"/>
  </w:style>
  <w:style w:type="paragraph" w:styleId="751">
    <w:name w:val="Caption"/>
    <w:basedOn w:val="897"/>
    <w:next w:val="897"/>
    <w:link w:val="7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2">
    <w:name w:val="Caption Char"/>
    <w:basedOn w:val="751"/>
    <w:link w:val="749"/>
    <w:uiPriority w:val="99"/>
  </w:style>
  <w:style w:type="table" w:styleId="75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9">
    <w:name w:val="Hyperlink"/>
    <w:uiPriority w:val="99"/>
    <w:unhideWhenUsed/>
    <w:rPr>
      <w:color w:val="0000ff" w:themeColor="hyperlink"/>
      <w:u w:val="single"/>
    </w:rPr>
  </w:style>
  <w:style w:type="paragraph" w:styleId="880">
    <w:name w:val="footnote text"/>
    <w:basedOn w:val="897"/>
    <w:link w:val="881"/>
    <w:uiPriority w:val="99"/>
    <w:semiHidden/>
    <w:unhideWhenUsed/>
    <w:pPr>
      <w:spacing w:after="40" w:line="240" w:lineRule="auto"/>
    </w:pPr>
    <w:rPr>
      <w:sz w:val="18"/>
    </w:rPr>
  </w:style>
  <w:style w:type="character" w:styleId="881">
    <w:name w:val="Footnote Text Char"/>
    <w:link w:val="880"/>
    <w:uiPriority w:val="99"/>
    <w:rPr>
      <w:sz w:val="18"/>
    </w:rPr>
  </w:style>
  <w:style w:type="character" w:styleId="882">
    <w:name w:val="footnote reference"/>
    <w:uiPriority w:val="99"/>
    <w:unhideWhenUsed/>
    <w:rPr>
      <w:vertAlign w:val="superscript"/>
    </w:rPr>
  </w:style>
  <w:style w:type="paragraph" w:styleId="883">
    <w:name w:val="endnote text"/>
    <w:basedOn w:val="897"/>
    <w:link w:val="884"/>
    <w:uiPriority w:val="99"/>
    <w:semiHidden/>
    <w:unhideWhenUsed/>
    <w:pPr>
      <w:spacing w:after="0" w:line="240" w:lineRule="auto"/>
    </w:pPr>
    <w:rPr>
      <w:sz w:val="20"/>
    </w:rPr>
  </w:style>
  <w:style w:type="character" w:styleId="884">
    <w:name w:val="Endnote Text Char"/>
    <w:link w:val="883"/>
    <w:uiPriority w:val="99"/>
    <w:rPr>
      <w:sz w:val="20"/>
    </w:rPr>
  </w:style>
  <w:style w:type="character" w:styleId="885">
    <w:name w:val="endnote reference"/>
    <w:uiPriority w:val="99"/>
    <w:semiHidden/>
    <w:unhideWhenUsed/>
    <w:rPr>
      <w:vertAlign w:val="superscript"/>
    </w:rPr>
  </w:style>
  <w:style w:type="paragraph" w:styleId="886">
    <w:name w:val="toc 1"/>
    <w:basedOn w:val="897"/>
    <w:next w:val="897"/>
    <w:uiPriority w:val="39"/>
    <w:unhideWhenUsed/>
    <w:pPr>
      <w:ind w:left="0" w:right="0" w:firstLine="0"/>
      <w:spacing w:after="57"/>
    </w:pPr>
  </w:style>
  <w:style w:type="paragraph" w:styleId="887">
    <w:name w:val="toc 2"/>
    <w:basedOn w:val="897"/>
    <w:next w:val="897"/>
    <w:uiPriority w:val="39"/>
    <w:unhideWhenUsed/>
    <w:pPr>
      <w:ind w:left="283" w:right="0" w:firstLine="0"/>
      <w:spacing w:after="57"/>
    </w:pPr>
  </w:style>
  <w:style w:type="paragraph" w:styleId="888">
    <w:name w:val="toc 3"/>
    <w:basedOn w:val="897"/>
    <w:next w:val="897"/>
    <w:uiPriority w:val="39"/>
    <w:unhideWhenUsed/>
    <w:pPr>
      <w:ind w:left="567" w:right="0" w:firstLine="0"/>
      <w:spacing w:after="57"/>
    </w:pPr>
  </w:style>
  <w:style w:type="paragraph" w:styleId="889">
    <w:name w:val="toc 4"/>
    <w:basedOn w:val="897"/>
    <w:next w:val="897"/>
    <w:uiPriority w:val="39"/>
    <w:unhideWhenUsed/>
    <w:pPr>
      <w:ind w:left="850" w:right="0" w:firstLine="0"/>
      <w:spacing w:after="57"/>
    </w:pPr>
  </w:style>
  <w:style w:type="paragraph" w:styleId="890">
    <w:name w:val="toc 5"/>
    <w:basedOn w:val="897"/>
    <w:next w:val="897"/>
    <w:uiPriority w:val="39"/>
    <w:unhideWhenUsed/>
    <w:pPr>
      <w:ind w:left="1134" w:right="0" w:firstLine="0"/>
      <w:spacing w:after="57"/>
    </w:pPr>
  </w:style>
  <w:style w:type="paragraph" w:styleId="891">
    <w:name w:val="toc 6"/>
    <w:basedOn w:val="897"/>
    <w:next w:val="897"/>
    <w:uiPriority w:val="39"/>
    <w:unhideWhenUsed/>
    <w:pPr>
      <w:ind w:left="1417" w:right="0" w:firstLine="0"/>
      <w:spacing w:after="57"/>
    </w:pPr>
  </w:style>
  <w:style w:type="paragraph" w:styleId="892">
    <w:name w:val="toc 7"/>
    <w:basedOn w:val="897"/>
    <w:next w:val="897"/>
    <w:uiPriority w:val="39"/>
    <w:unhideWhenUsed/>
    <w:pPr>
      <w:ind w:left="1701" w:right="0" w:firstLine="0"/>
      <w:spacing w:after="57"/>
    </w:pPr>
  </w:style>
  <w:style w:type="paragraph" w:styleId="893">
    <w:name w:val="toc 8"/>
    <w:basedOn w:val="897"/>
    <w:next w:val="897"/>
    <w:uiPriority w:val="39"/>
    <w:unhideWhenUsed/>
    <w:pPr>
      <w:ind w:left="1984" w:right="0" w:firstLine="0"/>
      <w:spacing w:after="57"/>
    </w:pPr>
  </w:style>
  <w:style w:type="paragraph" w:styleId="894">
    <w:name w:val="toc 9"/>
    <w:basedOn w:val="897"/>
    <w:next w:val="897"/>
    <w:uiPriority w:val="39"/>
    <w:unhideWhenUsed/>
    <w:pPr>
      <w:ind w:left="2268" w:right="0" w:firstLine="0"/>
      <w:spacing w:after="57"/>
    </w:pPr>
  </w:style>
  <w:style w:type="paragraph" w:styleId="895">
    <w:name w:val="TOC Heading"/>
    <w:uiPriority w:val="39"/>
    <w:unhideWhenUsed/>
  </w:style>
  <w:style w:type="paragraph" w:styleId="896">
    <w:name w:val="table of figures"/>
    <w:basedOn w:val="897"/>
    <w:next w:val="897"/>
    <w:uiPriority w:val="99"/>
    <w:unhideWhenUsed/>
    <w:pPr>
      <w:spacing w:after="0" w:afterAutospacing="0"/>
    </w:pPr>
  </w:style>
  <w:style w:type="paragraph" w:styleId="897" w:default="1">
    <w:name w:val="Normal"/>
    <w:next w:val="897"/>
    <w:link w:val="897"/>
    <w:qFormat/>
    <w:pPr>
      <w:ind w:firstLine="709"/>
    </w:pPr>
    <w:rPr>
      <w:sz w:val="26"/>
      <w:lang w:val="ru-RU" w:eastAsia="ru-RU" w:bidi="ar-SA"/>
    </w:rPr>
  </w:style>
  <w:style w:type="paragraph" w:styleId="898">
    <w:name w:val="Заголовок 1"/>
    <w:basedOn w:val="897"/>
    <w:next w:val="897"/>
    <w:link w:val="948"/>
    <w:qFormat/>
    <w:pPr>
      <w:ind w:firstLine="0"/>
      <w:keepNext/>
      <w:outlineLvl w:val="0"/>
    </w:pPr>
    <w:rPr>
      <w:b/>
      <w:bCs/>
      <w:sz w:val="32"/>
      <w:szCs w:val="32"/>
      <w:lang w:val="en-US"/>
    </w:rPr>
  </w:style>
  <w:style w:type="paragraph" w:styleId="899">
    <w:name w:val="Заголовок 2"/>
    <w:basedOn w:val="897"/>
    <w:next w:val="897"/>
    <w:link w:val="961"/>
    <w:semiHidden/>
    <w:unhideWhenUsed/>
    <w:qFormat/>
    <w:pPr>
      <w:keepNext/>
      <w:spacing w:before="240" w:after="60"/>
      <w:outlineLvl w:val="1"/>
    </w:pPr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900">
    <w:name w:val="Основной шрифт абзаца"/>
    <w:next w:val="900"/>
    <w:link w:val="897"/>
    <w:semiHidden/>
  </w:style>
  <w:style w:type="table" w:styleId="901">
    <w:name w:val="Обычная таблица"/>
    <w:next w:val="901"/>
    <w:link w:val="897"/>
    <w:semiHidden/>
    <w:tblPr/>
  </w:style>
  <w:style w:type="numbering" w:styleId="902">
    <w:name w:val="Нет списка"/>
    <w:next w:val="902"/>
    <w:link w:val="897"/>
    <w:uiPriority w:val="99"/>
    <w:semiHidden/>
  </w:style>
  <w:style w:type="paragraph" w:styleId="903">
    <w:name w:val="Основной текст"/>
    <w:basedOn w:val="897"/>
    <w:next w:val="897"/>
    <w:link w:val="897"/>
    <w:pPr>
      <w:ind w:firstLine="0"/>
      <w:jc w:val="both"/>
    </w:pPr>
    <w:rPr>
      <w:sz w:val="22"/>
    </w:rPr>
  </w:style>
  <w:style w:type="paragraph" w:styleId="904">
    <w:name w:val="Верхний колонтитул"/>
    <w:basedOn w:val="897"/>
    <w:next w:val="904"/>
    <w:link w:val="928"/>
    <w:uiPriority w:val="99"/>
    <w:pPr>
      <w:jc w:val="center"/>
      <w:spacing w:before="120" w:after="240"/>
      <w:tabs>
        <w:tab w:val="center" w:pos="4153" w:leader="none"/>
        <w:tab w:val="right" w:pos="8306" w:leader="none"/>
      </w:tabs>
    </w:pPr>
    <w:rPr>
      <w:b/>
      <w:caps/>
      <w:sz w:val="28"/>
    </w:rPr>
  </w:style>
  <w:style w:type="paragraph" w:styleId="905">
    <w:name w:val="Нижний колонтитул"/>
    <w:basedOn w:val="897"/>
    <w:next w:val="905"/>
    <w:link w:val="919"/>
    <w:uiPriority w:val="99"/>
    <w:pPr>
      <w:tabs>
        <w:tab w:val="center" w:pos="4153" w:leader="none"/>
        <w:tab w:val="right" w:pos="8306" w:leader="none"/>
      </w:tabs>
    </w:pPr>
  </w:style>
  <w:style w:type="character" w:styleId="906">
    <w:name w:val="Номер страницы"/>
    <w:basedOn w:val="900"/>
    <w:next w:val="906"/>
    <w:link w:val="897"/>
  </w:style>
  <w:style w:type="paragraph" w:styleId="907">
    <w:name w:val="Название объекта"/>
    <w:basedOn w:val="897"/>
    <w:next w:val="897"/>
    <w:link w:val="897"/>
    <w:qFormat/>
    <w:pPr>
      <w:jc w:val="center"/>
    </w:pPr>
    <w:rPr>
      <w:b/>
      <w:sz w:val="28"/>
    </w:rPr>
  </w:style>
  <w:style w:type="paragraph" w:styleId="908">
    <w:name w:val="Основной текст 2"/>
    <w:basedOn w:val="897"/>
    <w:next w:val="908"/>
    <w:link w:val="913"/>
    <w:pPr>
      <w:ind w:right="5102" w:firstLine="0"/>
      <w:jc w:val="center"/>
      <w:spacing w:before="120"/>
    </w:pPr>
  </w:style>
  <w:style w:type="paragraph" w:styleId="909">
    <w:name w:val="Обращение"/>
    <w:basedOn w:val="897"/>
    <w:next w:val="897"/>
    <w:link w:val="897"/>
    <w:pPr>
      <w:ind w:firstLine="0"/>
      <w:jc w:val="center"/>
      <w:spacing w:before="240" w:after="120"/>
    </w:pPr>
    <w:rPr>
      <w:b/>
    </w:rPr>
  </w:style>
  <w:style w:type="paragraph" w:styleId="910">
    <w:name w:val="Адресные реквизиты"/>
    <w:basedOn w:val="903"/>
    <w:next w:val="903"/>
    <w:link w:val="897"/>
    <w:pPr>
      <w:jc w:val="left"/>
    </w:pPr>
    <w:rPr>
      <w:sz w:val="16"/>
    </w:rPr>
  </w:style>
  <w:style w:type="paragraph" w:styleId="911">
    <w:name w:val="Адресат"/>
    <w:basedOn w:val="897"/>
    <w:next w:val="911"/>
    <w:link w:val="897"/>
    <w:pPr>
      <w:ind w:firstLine="0"/>
      <w:spacing w:before="120"/>
    </w:pPr>
    <w:rPr>
      <w:b/>
    </w:rPr>
  </w:style>
  <w:style w:type="paragraph" w:styleId="912">
    <w:name w:val="Основной текст 3"/>
    <w:basedOn w:val="897"/>
    <w:next w:val="912"/>
    <w:link w:val="897"/>
    <w:pPr>
      <w:ind w:firstLine="0"/>
      <w:spacing w:before="120"/>
      <w:tabs>
        <w:tab w:val="left" w:pos="7371" w:leader="none"/>
      </w:tabs>
    </w:pPr>
    <w:rPr>
      <w:sz w:val="28"/>
    </w:rPr>
  </w:style>
  <w:style w:type="character" w:styleId="913">
    <w:name w:val="Основной текст 2 Знак"/>
    <w:next w:val="913"/>
    <w:link w:val="908"/>
    <w:rPr>
      <w:sz w:val="26"/>
    </w:rPr>
  </w:style>
  <w:style w:type="paragraph" w:styleId="914">
    <w:name w:val="ConsPlusNormal"/>
    <w:next w:val="914"/>
    <w:link w:val="920"/>
    <w:rPr>
      <w:rFonts w:ascii="Calibri" w:hAnsi="Calibri" w:eastAsia="Calibri" w:cs="Calibri"/>
      <w:sz w:val="22"/>
      <w:szCs w:val="22"/>
      <w:lang w:val="ru-RU" w:eastAsia="en-US" w:bidi="ar-SA"/>
    </w:rPr>
  </w:style>
  <w:style w:type="paragraph" w:styleId="915">
    <w:name w:val="Абзац списка,ТЗ список,Абзац списка нумерованный"/>
    <w:next w:val="915"/>
    <w:link w:val="954"/>
    <w:uiPriority w:val="34"/>
    <w:qFormat/>
    <w:pPr>
      <w:contextualSpacing/>
      <w:ind w:firstLine="709"/>
      <w:jc w:val="both"/>
    </w:pPr>
    <w:rPr>
      <w:rFonts w:ascii="PT Astra Serif" w:hAnsi="PT Astra Serif" w:cs="PT Astra Serif"/>
      <w:sz w:val="28"/>
      <w:szCs w:val="28"/>
      <w:lang w:val="ru-RU" w:eastAsia="ru-RU" w:bidi="ar-SA"/>
    </w:rPr>
  </w:style>
  <w:style w:type="paragraph" w:styleId="916">
    <w:name w:val="Текст выноски"/>
    <w:basedOn w:val="897"/>
    <w:next w:val="916"/>
    <w:link w:val="917"/>
    <w:rPr>
      <w:rFonts w:ascii="Tahoma" w:hAnsi="Tahoma" w:cs="Tahoma"/>
      <w:sz w:val="16"/>
      <w:szCs w:val="16"/>
    </w:rPr>
  </w:style>
  <w:style w:type="character" w:styleId="917">
    <w:name w:val="Текст выноски Знак"/>
    <w:next w:val="917"/>
    <w:link w:val="916"/>
    <w:rPr>
      <w:rFonts w:ascii="Tahoma" w:hAnsi="Tahoma" w:cs="Tahoma"/>
      <w:sz w:val="16"/>
      <w:szCs w:val="16"/>
    </w:rPr>
  </w:style>
  <w:style w:type="paragraph" w:styleId="918">
    <w:name w:val="ConsPlusTitle"/>
    <w:next w:val="918"/>
    <w:link w:val="897"/>
    <w:uiPriority w:val="99"/>
    <w:pPr>
      <w:widowControl w:val="off"/>
    </w:pPr>
    <w:rPr>
      <w:b/>
      <w:bCs/>
      <w:sz w:val="24"/>
      <w:szCs w:val="24"/>
      <w:lang w:val="ru-RU" w:eastAsia="ru-RU" w:bidi="ar-SA"/>
    </w:rPr>
  </w:style>
  <w:style w:type="character" w:styleId="919">
    <w:name w:val="Нижний колонтитул Знак"/>
    <w:next w:val="919"/>
    <w:link w:val="905"/>
    <w:uiPriority w:val="99"/>
    <w:rPr>
      <w:sz w:val="26"/>
    </w:rPr>
  </w:style>
  <w:style w:type="character" w:styleId="920">
    <w:name w:val="ConsPlusNormal Знак"/>
    <w:next w:val="920"/>
    <w:link w:val="914"/>
    <w:rPr>
      <w:rFonts w:ascii="Calibri" w:hAnsi="Calibri" w:eastAsia="Calibri" w:cs="Calibri"/>
      <w:sz w:val="22"/>
      <w:szCs w:val="22"/>
      <w:lang w:eastAsia="en-US"/>
    </w:rPr>
  </w:style>
  <w:style w:type="paragraph" w:styleId="921">
    <w:name w:val="заголовок 2"/>
    <w:basedOn w:val="897"/>
    <w:next w:val="897"/>
    <w:link w:val="897"/>
    <w:pPr>
      <w:ind w:firstLine="0"/>
      <w:jc w:val="center"/>
      <w:keepNext/>
      <w:outlineLvl w:val="1"/>
    </w:pPr>
    <w:rPr>
      <w:rFonts w:ascii="New York" w:hAnsi="New York"/>
      <w:sz w:val="24"/>
      <w:szCs w:val="24"/>
      <w:lang w:val="en-US"/>
    </w:rPr>
  </w:style>
  <w:style w:type="paragraph" w:styleId="922">
    <w:name w:val="Основной текст с отступом"/>
    <w:basedOn w:val="897"/>
    <w:next w:val="922"/>
    <w:link w:val="923"/>
    <w:pPr>
      <w:ind w:firstLine="0"/>
      <w:jc w:val="both"/>
    </w:pPr>
    <w:rPr>
      <w:rFonts w:ascii="MS Sans Serif" w:hAnsi="MS Sans Serif"/>
      <w:sz w:val="22"/>
      <w:szCs w:val="22"/>
    </w:rPr>
  </w:style>
  <w:style w:type="character" w:styleId="923">
    <w:name w:val="Основной текст с отступом Знак"/>
    <w:next w:val="923"/>
    <w:link w:val="922"/>
    <w:rPr>
      <w:rFonts w:ascii="MS Sans Serif" w:hAnsi="MS Sans Serif"/>
      <w:sz w:val="22"/>
      <w:szCs w:val="22"/>
    </w:rPr>
  </w:style>
  <w:style w:type="paragraph" w:styleId="924">
    <w:name w:val="Цитата"/>
    <w:basedOn w:val="897"/>
    <w:next w:val="924"/>
    <w:link w:val="897"/>
    <w:pPr>
      <w:ind w:left="851" w:right="-567" w:firstLine="567"/>
    </w:pPr>
    <w:rPr>
      <w:rFonts w:ascii="MS Sans Serif" w:hAnsi="MS Sans Serif"/>
      <w:sz w:val="22"/>
      <w:szCs w:val="22"/>
    </w:rPr>
  </w:style>
  <w:style w:type="paragraph" w:styleId="925">
    <w:name w:val="заголовок 6"/>
    <w:basedOn w:val="897"/>
    <w:next w:val="897"/>
    <w:link w:val="897"/>
    <w:pPr>
      <w:ind w:firstLine="0"/>
      <w:jc w:val="center"/>
      <w:keepNext/>
      <w:outlineLvl w:val="5"/>
    </w:pPr>
    <w:rPr>
      <w:rFonts w:ascii="MS Sans Serif" w:hAnsi="MS Sans Serif"/>
      <w:b/>
      <w:bCs/>
      <w:sz w:val="32"/>
      <w:szCs w:val="32"/>
    </w:rPr>
  </w:style>
  <w:style w:type="paragraph" w:styleId="926">
    <w:name w:val="Основной текст с отступом 3"/>
    <w:basedOn w:val="897"/>
    <w:next w:val="926"/>
    <w:link w:val="927"/>
    <w:pPr>
      <w:ind w:left="283" w:firstLine="0"/>
      <w:spacing w:after="120"/>
    </w:pPr>
    <w:rPr>
      <w:sz w:val="16"/>
      <w:szCs w:val="16"/>
    </w:rPr>
  </w:style>
  <w:style w:type="character" w:styleId="927">
    <w:name w:val="Основной текст с отступом 3 Знак"/>
    <w:next w:val="927"/>
    <w:link w:val="926"/>
    <w:rPr>
      <w:sz w:val="16"/>
      <w:szCs w:val="16"/>
    </w:rPr>
  </w:style>
  <w:style w:type="character" w:styleId="928">
    <w:name w:val="Верхний колонтитул Знак"/>
    <w:next w:val="928"/>
    <w:link w:val="904"/>
    <w:uiPriority w:val="99"/>
    <w:rPr>
      <w:b/>
      <w:caps/>
      <w:sz w:val="28"/>
    </w:rPr>
  </w:style>
  <w:style w:type="table" w:styleId="929">
    <w:name w:val="Сетка таблицы"/>
    <w:basedOn w:val="901"/>
    <w:next w:val="929"/>
    <w:link w:val="897"/>
    <w:uiPriority w:val="59"/>
    <w:rPr>
      <w:rFonts w:ascii="Calibri" w:hAnsi="Calibri" w:eastAsia="Calibri"/>
      <w:sz w:val="22"/>
      <w:szCs w:val="22"/>
      <w:lang w:eastAsia="en-US"/>
    </w:rPr>
    <w:tblPr/>
  </w:style>
  <w:style w:type="character" w:styleId="930">
    <w:name w:val="Слабое выделение"/>
    <w:next w:val="930"/>
    <w:link w:val="897"/>
    <w:uiPriority w:val="19"/>
    <w:qFormat/>
    <w:rPr>
      <w:i/>
      <w:iCs/>
      <w:color w:val="404040"/>
    </w:rPr>
  </w:style>
  <w:style w:type="character" w:styleId="931">
    <w:name w:val="Гиперссылка"/>
    <w:next w:val="931"/>
    <w:link w:val="897"/>
    <w:uiPriority w:val="99"/>
    <w:rPr>
      <w:color w:val="0563c1"/>
      <w:u w:val="single"/>
    </w:rPr>
  </w:style>
  <w:style w:type="paragraph" w:styleId="932">
    <w:name w:val="Без интервала"/>
    <w:next w:val="932"/>
    <w:link w:val="950"/>
    <w:uiPriority w:val="1"/>
    <w:qFormat/>
    <w:rPr>
      <w:sz w:val="24"/>
      <w:szCs w:val="24"/>
      <w:lang w:val="ru-RU" w:eastAsia="ru-RU" w:bidi="ar-SA"/>
    </w:rPr>
  </w:style>
  <w:style w:type="paragraph" w:styleId="933">
    <w:name w:val="Обычный (веб)"/>
    <w:basedOn w:val="897"/>
    <w:next w:val="933"/>
    <w:link w:val="897"/>
    <w:uiPriority w:val="99"/>
    <w:pPr>
      <w:ind w:firstLine="0"/>
      <w:spacing w:before="280" w:after="119"/>
    </w:pPr>
    <w:rPr>
      <w:sz w:val="24"/>
      <w:szCs w:val="24"/>
      <w:lang w:eastAsia="ar-SA"/>
    </w:rPr>
  </w:style>
  <w:style w:type="character" w:styleId="934">
    <w:name w:val="Строгий"/>
    <w:next w:val="934"/>
    <w:link w:val="897"/>
    <w:uiPriority w:val="22"/>
    <w:qFormat/>
    <w:rPr>
      <w:b/>
      <w:bCs/>
    </w:rPr>
  </w:style>
  <w:style w:type="character" w:styleId="935">
    <w:name w:val="Просмотренная гиперссылка"/>
    <w:next w:val="935"/>
    <w:link w:val="897"/>
    <w:uiPriority w:val="99"/>
    <w:unhideWhenUsed/>
    <w:rPr>
      <w:color w:val="800080"/>
      <w:u w:val="single"/>
    </w:rPr>
  </w:style>
  <w:style w:type="paragraph" w:styleId="936">
    <w:name w:val="xl63"/>
    <w:basedOn w:val="897"/>
    <w:next w:val="936"/>
    <w:link w:val="897"/>
    <w:pPr>
      <w:ind w:firstLine="100"/>
      <w:spacing w:before="100" w:beforeAutospacing="1" w:after="100" w:afterAutospacing="1"/>
      <w:pBdr>
        <w:top w:val="single" w:color="000000" w:sz="8" w:space="0"/>
        <w:left w:val="single" w:color="000000" w:sz="8" w:space="9"/>
        <w:bottom w:val="single" w:color="000000" w:sz="8" w:space="0"/>
        <w:right w:val="single" w:color="000000" w:sz="8" w:space="0"/>
      </w:pBdr>
    </w:pPr>
    <w:rPr>
      <w:sz w:val="24"/>
      <w:szCs w:val="24"/>
    </w:rPr>
  </w:style>
  <w:style w:type="paragraph" w:styleId="937">
    <w:name w:val="xl64"/>
    <w:basedOn w:val="897"/>
    <w:next w:val="937"/>
    <w:link w:val="897"/>
    <w:pPr>
      <w:ind w:firstLine="0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4"/>
      <w:szCs w:val="24"/>
    </w:rPr>
  </w:style>
  <w:style w:type="paragraph" w:styleId="938">
    <w:name w:val="xl65"/>
    <w:basedOn w:val="897"/>
    <w:next w:val="938"/>
    <w:link w:val="897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Arial" w:hAnsi="Arial" w:cs="Arial"/>
      <w:sz w:val="24"/>
      <w:szCs w:val="24"/>
    </w:rPr>
  </w:style>
  <w:style w:type="paragraph" w:styleId="939">
    <w:name w:val="xl66"/>
    <w:basedOn w:val="897"/>
    <w:next w:val="939"/>
    <w:link w:val="897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4"/>
      <w:szCs w:val="24"/>
    </w:rPr>
  </w:style>
  <w:style w:type="paragraph" w:styleId="940">
    <w:name w:val="xl67"/>
    <w:basedOn w:val="897"/>
    <w:next w:val="940"/>
    <w:link w:val="897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4"/>
      <w:szCs w:val="24"/>
    </w:rPr>
  </w:style>
  <w:style w:type="paragraph" w:styleId="941">
    <w:name w:val="xl68"/>
    <w:basedOn w:val="897"/>
    <w:next w:val="941"/>
    <w:link w:val="897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4"/>
      <w:szCs w:val="24"/>
    </w:rPr>
  </w:style>
  <w:style w:type="paragraph" w:styleId="942">
    <w:name w:val="xl69"/>
    <w:basedOn w:val="897"/>
    <w:next w:val="942"/>
    <w:link w:val="897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4"/>
      <w:szCs w:val="24"/>
    </w:rPr>
  </w:style>
  <w:style w:type="paragraph" w:styleId="943">
    <w:name w:val="xl70"/>
    <w:basedOn w:val="897"/>
    <w:next w:val="943"/>
    <w:link w:val="897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4"/>
      <w:szCs w:val="24"/>
    </w:rPr>
  </w:style>
  <w:style w:type="paragraph" w:styleId="944">
    <w:name w:val="xl71"/>
    <w:basedOn w:val="897"/>
    <w:next w:val="944"/>
    <w:link w:val="897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4"/>
      <w:szCs w:val="24"/>
    </w:rPr>
  </w:style>
  <w:style w:type="paragraph" w:styleId="945">
    <w:name w:val="xl72"/>
    <w:basedOn w:val="897"/>
    <w:next w:val="945"/>
    <w:link w:val="897"/>
    <w:pPr>
      <w:ind w:firstLine="0"/>
      <w:jc w:val="center"/>
      <w:spacing w:before="100" w:beforeAutospacing="1" w:after="100" w:afterAutospacing="1"/>
    </w:pPr>
    <w:rPr>
      <w:sz w:val="24"/>
      <w:szCs w:val="24"/>
    </w:rPr>
  </w:style>
  <w:style w:type="character" w:styleId="946">
    <w:name w:val="Гипертекстовая ссылка"/>
    <w:next w:val="946"/>
    <w:link w:val="897"/>
    <w:uiPriority w:val="99"/>
    <w:rPr>
      <w:rFonts w:cs="Times New Roman"/>
      <w:color w:val="106bbe"/>
    </w:rPr>
  </w:style>
  <w:style w:type="paragraph" w:styleId="947">
    <w:name w:val="Знак1 Знак Знак Знак"/>
    <w:basedOn w:val="897"/>
    <w:next w:val="947"/>
    <w:link w:val="897"/>
    <w:pPr>
      <w:ind w:firstLine="0"/>
    </w:pPr>
    <w:rPr>
      <w:rFonts w:ascii="Verdana" w:hAnsi="Verdana" w:cs="Verdana"/>
      <w:sz w:val="20"/>
      <w:lang w:val="en-US" w:eastAsia="en-US"/>
    </w:rPr>
  </w:style>
  <w:style w:type="character" w:styleId="948">
    <w:name w:val="Заголовок 1 Знак"/>
    <w:next w:val="948"/>
    <w:link w:val="898"/>
    <w:rPr>
      <w:b/>
      <w:bCs/>
      <w:sz w:val="32"/>
      <w:szCs w:val="32"/>
      <w:lang w:val="en-US"/>
    </w:rPr>
  </w:style>
  <w:style w:type="paragraph" w:styleId="949">
    <w:name w:val="Default"/>
    <w:next w:val="949"/>
    <w:link w:val="897"/>
    <w:rPr>
      <w:rFonts w:ascii="PT Astra Serif" w:hAnsi="PT Astra Serif" w:cs="PT Astra Serif"/>
      <w:color w:val="000000"/>
      <w:sz w:val="24"/>
      <w:szCs w:val="24"/>
      <w:lang w:val="ru-RU" w:eastAsia="ru-RU" w:bidi="ar-SA"/>
    </w:rPr>
  </w:style>
  <w:style w:type="character" w:styleId="950">
    <w:name w:val="Без интервала Знак"/>
    <w:next w:val="950"/>
    <w:link w:val="932"/>
    <w:rPr>
      <w:sz w:val="24"/>
      <w:szCs w:val="24"/>
    </w:rPr>
  </w:style>
  <w:style w:type="character" w:styleId="951">
    <w:name w:val="Основной текст_"/>
    <w:next w:val="951"/>
    <w:link w:val="952"/>
    <w:rPr>
      <w:sz w:val="28"/>
      <w:szCs w:val="28"/>
      <w:shd w:val="clear" w:color="auto" w:fill="ffffff"/>
    </w:rPr>
  </w:style>
  <w:style w:type="paragraph" w:styleId="952">
    <w:name w:val="Основной текст1"/>
    <w:basedOn w:val="897"/>
    <w:next w:val="952"/>
    <w:link w:val="951"/>
    <w:pPr>
      <w:ind w:hanging="1660"/>
      <w:jc w:val="both"/>
      <w:spacing w:before="660" w:line="317" w:lineRule="exact"/>
      <w:shd w:val="clear" w:color="auto" w:fill="ffffff"/>
      <w:widowControl w:val="off"/>
    </w:pPr>
    <w:rPr>
      <w:sz w:val="28"/>
      <w:szCs w:val="28"/>
    </w:rPr>
  </w:style>
  <w:style w:type="paragraph" w:styleId="953">
    <w:name w:val="ConsPlusNonformat"/>
    <w:next w:val="953"/>
    <w:link w:val="897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54">
    <w:name w:val="Абзац списка Знак,ТЗ список Знак,Абзац списка нумерованный Знак"/>
    <w:next w:val="954"/>
    <w:link w:val="915"/>
    <w:uiPriority w:val="34"/>
    <w:qFormat/>
    <w:rPr>
      <w:rFonts w:ascii="PT Astra Serif" w:hAnsi="PT Astra Serif" w:cs="PT Astra Serif"/>
      <w:sz w:val="28"/>
      <w:szCs w:val="28"/>
    </w:rPr>
  </w:style>
  <w:style w:type="paragraph" w:styleId="955">
    <w:name w:val="Стандартный HTML"/>
    <w:basedOn w:val="897"/>
    <w:next w:val="955"/>
    <w:link w:val="956"/>
    <w:uiPriority w:val="99"/>
    <w:pPr>
      <w:ind w:firstLine="0"/>
    </w:pPr>
    <w:rPr>
      <w:rFonts w:ascii="Courier New" w:hAnsi="Courier New" w:cs="Courier New"/>
      <w:sz w:val="20"/>
    </w:rPr>
  </w:style>
  <w:style w:type="character" w:styleId="956">
    <w:name w:val="Стандартный HTML Знак"/>
    <w:next w:val="956"/>
    <w:link w:val="955"/>
    <w:uiPriority w:val="99"/>
    <w:rPr>
      <w:rFonts w:ascii="Courier New" w:hAnsi="Courier New" w:cs="Courier New"/>
    </w:rPr>
  </w:style>
  <w:style w:type="paragraph" w:styleId="957">
    <w:name w:val="Исполнитель"/>
    <w:basedOn w:val="897"/>
    <w:next w:val="957"/>
    <w:link w:val="897"/>
    <w:pPr>
      <w:ind w:right="181" w:firstLine="0"/>
    </w:pPr>
    <w:rPr>
      <w:rFonts w:ascii="PT Astra Serif" w:hAnsi="PT Astra Serif"/>
      <w:color w:val="000000"/>
      <w:sz w:val="20"/>
    </w:rPr>
  </w:style>
  <w:style w:type="paragraph" w:styleId="958">
    <w:name w:val="s_3"/>
    <w:basedOn w:val="897"/>
    <w:next w:val="958"/>
    <w:link w:val="897"/>
    <w:pPr>
      <w:ind w:firstLine="0"/>
      <w:spacing w:before="100" w:beforeAutospacing="1" w:after="100" w:afterAutospacing="1"/>
    </w:pPr>
    <w:rPr>
      <w:sz w:val="24"/>
      <w:szCs w:val="24"/>
    </w:rPr>
  </w:style>
  <w:style w:type="paragraph" w:styleId="959">
    <w:name w:val="s_16"/>
    <w:basedOn w:val="897"/>
    <w:next w:val="959"/>
    <w:link w:val="897"/>
    <w:pPr>
      <w:ind w:firstLine="0"/>
      <w:spacing w:before="100" w:beforeAutospacing="1" w:after="100" w:afterAutospacing="1"/>
    </w:pPr>
    <w:rPr>
      <w:sz w:val="24"/>
      <w:szCs w:val="24"/>
    </w:rPr>
  </w:style>
  <w:style w:type="paragraph" w:styleId="960">
    <w:name w:val="empty"/>
    <w:basedOn w:val="897"/>
    <w:next w:val="960"/>
    <w:link w:val="897"/>
    <w:pPr>
      <w:ind w:firstLine="0"/>
      <w:spacing w:before="100" w:beforeAutospacing="1" w:after="100" w:afterAutospacing="1"/>
    </w:pPr>
    <w:rPr>
      <w:sz w:val="24"/>
      <w:szCs w:val="24"/>
    </w:rPr>
  </w:style>
  <w:style w:type="character" w:styleId="961">
    <w:name w:val="Заголовок 2 Знак"/>
    <w:next w:val="961"/>
    <w:link w:val="899"/>
    <w:semiHidden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962" w:default="1">
    <w:name w:val="Default Paragraph Font"/>
    <w:uiPriority w:val="1"/>
    <w:semiHidden/>
    <w:unhideWhenUsed/>
  </w:style>
  <w:style w:type="numbering" w:styleId="963" w:default="1">
    <w:name w:val="No List"/>
    <w:uiPriority w:val="99"/>
    <w:semiHidden/>
    <w:unhideWhenUsed/>
  </w:style>
  <w:style w:type="table" w:styleId="96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Администрация Томской области</Company>
  <DocSecurity>0</DocSecurity>
  <HyperlinksChanged>false</HyperlinksChanged>
  <ScaleCrop>false</ScaleCrop>
  <SharedDoc>false</SharedDoc>
  <Template>Постановление АТО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mazaeva</dc:creator>
  <cp:revision>13</cp:revision>
  <dcterms:created xsi:type="dcterms:W3CDTF">2026-02-02T07:43:00Z</dcterms:created>
  <dcterms:modified xsi:type="dcterms:W3CDTF">2026-09-07T07:26:46Z</dcterms:modified>
  <cp:version>983040</cp:version>
</cp:coreProperties>
</file>