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08"/>
        <w:jc w:val="center"/>
        <w:spacing w:after="0" w:line="240" w:lineRule="auto"/>
        <w:tabs>
          <w:tab w:val="left" w:pos="1512" w:leader="none"/>
          <w:tab w:val="left" w:pos="2592" w:leader="none"/>
          <w:tab w:val="center" w:pos="4677" w:leader="none"/>
          <w:tab w:val="right" w:pos="9355" w:leader="none"/>
          <w:tab w:val="right" w:pos="9612" w:leader="none"/>
        </w:tabs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795" cy="606425"/>
                <wp:effectExtent l="0" t="0" r="1905" b="3175"/>
                <wp:docPr id="1" name="Рисунок 1" descr="GerbTOu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TOugl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7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pt;height:47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before="120" w:after="0" w:line="240" w:lineRule="auto"/>
        <w:tabs>
          <w:tab w:val="center" w:pos="4677" w:leader="none"/>
          <w:tab w:val="right" w:pos="8964" w:leader="none"/>
          <w:tab w:val="right" w:pos="9355" w:leader="none"/>
        </w:tabs>
        <w:rPr>
          <w:rFonts w:ascii="PT Astra Serif" w:hAnsi="PT Astra Serif" w:eastAsia="Times New Roman"/>
          <w:b/>
          <w:sz w:val="30"/>
          <w:szCs w:val="30"/>
          <w:lang w:eastAsia="ru-RU"/>
        </w:rPr>
      </w:pP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ПРАВИТЕЛЬСТВО</w:t>
      </w: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 </w:t>
      </w: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ТОМСКОЙ ОБЛАСТИ</w:t>
      </w:r>
      <w:r/>
    </w:p>
    <w:p>
      <w:pPr>
        <w:jc w:val="center"/>
        <w:keepNext/>
        <w:spacing w:before="120" w:after="0" w:line="240" w:lineRule="auto"/>
        <w:tabs>
          <w:tab w:val="left" w:pos="0" w:leader="none"/>
        </w:tabs>
        <w:rPr>
          <w:rFonts w:ascii="PT Astra Serif" w:hAnsi="PT Astra Serif" w:eastAsia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  <w:t xml:space="preserve">ПОСТАНОВЛЕНИЕ</w:t>
      </w: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  <w:tab/>
      </w:r>
      <w:r/>
    </w:p>
    <w:p>
      <w:pPr>
        <w:jc w:val="center"/>
        <w:keepNext/>
        <w:spacing w:after="0" w:line="240" w:lineRule="auto"/>
        <w:tabs>
          <w:tab w:val="left" w:pos="0" w:leader="none"/>
        </w:tabs>
        <w:rPr>
          <w:rFonts w:ascii="PT Astra Serif" w:hAnsi="PT Astra Serif" w:eastAsia="Times New Roman"/>
          <w:bCs/>
          <w:sz w:val="26"/>
          <w:szCs w:val="26"/>
          <w:lang w:eastAsia="ru-RU"/>
        </w:rPr>
      </w:pPr>
      <w:r>
        <w:rPr>
          <w:rFonts w:ascii="PT Astra Serif" w:hAnsi="PT Astra Serif" w:eastAsia="Times New Roman"/>
          <w:bCs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Об утверждении Положения </w:t>
      </w:r>
      <w:r>
        <w:rPr>
          <w:rFonts w:ascii="PT Astra Serif" w:hAnsi="PT Astra Serif"/>
          <w:sz w:val="26"/>
          <w:szCs w:val="26"/>
        </w:rPr>
        <w:t xml:space="preserve">о региональном государственном контроле (надзоре) в сфере туристской индустрии на территории Томской области</w:t>
      </w:r>
      <w:r/>
    </w:p>
    <w:p>
      <w:pPr>
        <w:spacing w:after="0" w:line="240" w:lineRule="auto"/>
        <w:tabs>
          <w:tab w:val="left" w:pos="6078" w:leader="none"/>
        </w:tabs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ab/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00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000000"/>
          <w:sz w:val="26"/>
          <w:szCs w:val="26"/>
          <w:lang w:eastAsia="ru-RU"/>
        </w:rPr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3.2 Федерального закона от 24 ноября 1996 года                 № 132-ФЗ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основах туристской деятельности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пунктом 3) части 2 статьи 3 Федерального закона от 31 июля 2020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 xml:space="preserve">»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ПОСТАНОВЛЯЮ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hyperlink w:tooltip="ПОЛОЖЕНИЕ" w:anchor="P35" w:history="1">
        <w:r>
          <w:rPr>
            <w:sz w:val="26"/>
            <w:szCs w:val="26"/>
          </w:rPr>
          <w:t xml:space="preserve">Положение</w:t>
        </w:r>
      </w:hyperlink>
      <w:r>
        <w:rPr>
          <w:sz w:val="26"/>
          <w:szCs w:val="26"/>
        </w:rPr>
        <w:t xml:space="preserve"> </w:t>
      </w:r>
      <w:bookmarkStart w:id="0" w:name="_Hlk221195983"/>
      <w:r>
        <w:rPr>
          <w:sz w:val="26"/>
          <w:szCs w:val="26"/>
        </w:rPr>
        <w:t xml:space="preserve">о региональном государственном контроле (надзоре) в сфере туристской индустрии на территории Томской области </w:t>
      </w:r>
      <w:bookmarkEnd w:id="0"/>
      <w:r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 к настоящему постановлению;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Ключевые </w:t>
      </w:r>
      <w:hyperlink w:tooltip="КЛЮЧЕВЫЕ ПОКАЗАТЕЛИ" w:anchor="P441" w:history="1">
        <w:r>
          <w:rPr>
            <w:sz w:val="26"/>
            <w:szCs w:val="26"/>
          </w:rPr>
          <w:t xml:space="preserve">показатели</w:t>
        </w:r>
      </w:hyperlink>
      <w:r>
        <w:rPr>
          <w:sz w:val="26"/>
          <w:szCs w:val="26"/>
        </w:rPr>
        <w:t xml:space="preserve"> регионального государственного контроля (надзора) в сфере туристской индустрии на территории Томской области и их целевые значения 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 к настоящему постановлению;</w:t>
      </w:r>
      <w:r/>
    </w:p>
    <w:p>
      <w:pPr>
        <w:pStyle w:val="868"/>
        <w:ind w:firstLine="709"/>
        <w:jc w:val="both"/>
        <w:rPr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  <w:t xml:space="preserve">3) Индикативные </w:t>
      </w:r>
      <w:hyperlink w:tooltip="ИНДИКАТИВНЫЕ ПОКАЗАТЕЛИ" w:anchor="P478" w:history="1">
        <w:r>
          <w:rPr>
            <w:color w:val="auto"/>
            <w:sz w:val="26"/>
            <w:szCs w:val="26"/>
            <w:highlight w:val="none"/>
          </w:rPr>
          <w:t xml:space="preserve">показатели</w:t>
        </w:r>
      </w:hyperlink>
      <w:r>
        <w:rPr>
          <w:color w:val="auto"/>
          <w:sz w:val="26"/>
          <w:szCs w:val="26"/>
          <w:highlight w:val="none"/>
        </w:rPr>
        <w:t xml:space="preserve"> регионального государственного контроля (надзора) в сфере туристской индустрии на территории Томской области согласно приложению № 3 к настоящему постановлению</w:t>
      </w:r>
      <w:r>
        <w:rPr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color w:val="auto"/>
          <w:sz w:val="26"/>
          <w:szCs w:val="26"/>
          <w:highlight w:val="none"/>
        </w:rPr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  <w:highlight w:val="none"/>
        </w:rPr>
        <w:t xml:space="preserve">4) </w:t>
      </w:r>
      <w:hyperlink w:tooltip="ПЕРЕЧЕНЬ" w:anchor="P514" w:history="1">
        <w:r>
          <w:rPr>
            <w:color w:val="auto"/>
            <w:sz w:val="26"/>
            <w:szCs w:val="26"/>
            <w:highlight w:val="none"/>
          </w:rPr>
          <w:t xml:space="preserve">Перечень</w:t>
        </w:r>
      </w:hyperlink>
      <w:r>
        <w:rPr>
          <w:color w:val="auto"/>
          <w:sz w:val="26"/>
          <w:szCs w:val="26"/>
          <w:highlight w:val="none"/>
        </w:rPr>
        <w:t xml:space="preserve"> индикаторов риска нарушения обязательных требований при осуществлении регионального государственного</w:t>
      </w:r>
      <w:r>
        <w:rPr>
          <w:sz w:val="26"/>
          <w:szCs w:val="26"/>
        </w:rPr>
        <w:t xml:space="preserve"> контроля (надзора) в сфере туристской индустрии на территории Томской области 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4 к настоящему постановлению.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</w:t>
      </w:r>
      <w:r>
        <w:rPr>
          <w:sz w:val="26"/>
          <w:szCs w:val="26"/>
        </w:rPr>
        <w:t xml:space="preserve">постановление Администрации Томской области от 24.10.2025 № 491а «Об утверждении Положения о региональном государственном контроле (надзоре) в сфере туристской индустрии на территории Томской области» (Собрание законодательства Томской области, 2025, №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/1, 2 (3</w:t>
      </w:r>
      <w:r>
        <w:rPr>
          <w:sz w:val="26"/>
          <w:szCs w:val="26"/>
        </w:rPr>
        <w:t xml:space="preserve">70</w:t>
      </w:r>
      <w:r>
        <w:rPr>
          <w:sz w:val="26"/>
          <w:szCs w:val="26"/>
        </w:rPr>
        <w:t xml:space="preserve">), том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).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через десять дней после дня его официального опубликования.</w:t>
      </w:r>
      <w:r/>
    </w:p>
    <w:p>
      <w:pPr>
        <w:pStyle w:val="868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 Контроль за исполнением настоящего постановления возложить </w:t>
      </w:r>
      <w:r>
        <w:rPr>
          <w:color w:val="000000" w:themeColor="text1"/>
          <w:sz w:val="26"/>
          <w:szCs w:val="26"/>
        </w:rPr>
        <w:t xml:space="preserve">на за</w:t>
      </w:r>
      <w:r>
        <w:rPr>
          <w:color w:val="000000" w:themeColor="text1"/>
          <w:sz w:val="26"/>
          <w:szCs w:val="26"/>
        </w:rPr>
        <w:t xml:space="preserve">местителя Председателя Правительства Томской области по экономике.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auto"/>
          <w:sz w:val="26"/>
          <w:szCs w:val="26"/>
        </w:rPr>
      </w:pPr>
      <w:r>
        <w:rPr>
          <w:rFonts w:ascii="PT Astra Serif" w:hAnsi="PT Astra Serif" w:eastAsia="Times New Roman"/>
          <w:color w:val="auto"/>
          <w:sz w:val="26"/>
          <w:szCs w:val="26"/>
          <w:lang w:eastAsia="ru-RU"/>
        </w:rPr>
      </w:r>
      <w:r>
        <w:rPr>
          <w:color w:val="auto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600" w:leader="none"/>
          <w:tab w:val="right" w:pos="10206" w:leader="none"/>
        </w:tabs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Председатель Правительства Томской области   </w:t>
      </w:r>
      <w:r>
        <w:rPr>
          <w:rFonts w:ascii="PT Astra Serif" w:hAnsi="PT Astra Serif" w:eastAsia="Times New Roman"/>
          <w:sz w:val="26"/>
          <w:szCs w:val="26"/>
          <w:lang w:eastAsia="ru-RU"/>
        </w:rPr>
        <w:tab/>
        <w:t xml:space="preserve">           А.В. Кондратьев </w:t>
      </w:r>
      <w:r/>
    </w:p>
    <w:p>
      <w:pPr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Деев А.Н.</w:t>
      </w:r>
      <w:r/>
    </w:p>
    <w:p>
      <w:pPr>
        <w:pStyle w:val="868"/>
        <w:ind w:left="5387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Приложение № 1</w:t>
      </w:r>
      <w:r/>
    </w:p>
    <w:p>
      <w:pPr>
        <w:pStyle w:val="868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68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Утверждено </w:t>
      </w:r>
      <w:r>
        <w:rPr>
          <w:sz w:val="26"/>
          <w:szCs w:val="26"/>
        </w:rPr>
      </w:r>
      <w:r/>
    </w:p>
    <w:p>
      <w:pPr>
        <w:pStyle w:val="868"/>
        <w:ind w:left="538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868"/>
        <w:ind w:left="5387"/>
        <w:rPr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Правительства</w:t>
      </w:r>
      <w:r>
        <w:rPr>
          <w:sz w:val="26"/>
          <w:szCs w:val="26"/>
        </w:rPr>
        <w:t xml:space="preserve"> Томской области</w:t>
      </w:r>
      <w:r/>
    </w:p>
    <w:p>
      <w:pPr>
        <w:ind w:left="5387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/>
      <w:hyperlink w:tooltip="ПОЛОЖЕНИЕ" w:anchor="P35" w:history="1">
        <w:r>
          <w:rPr>
            <w:rFonts w:ascii="PT Astra Serif" w:hAnsi="PT Astra Serif"/>
            <w:sz w:val="26"/>
            <w:szCs w:val="26"/>
          </w:rPr>
          <w:t xml:space="preserve">Положение</w:t>
        </w:r>
      </w:hyperlink>
      <w:r>
        <w:rPr>
          <w:rFonts w:ascii="PT Astra Serif" w:hAnsi="PT Astra Serif"/>
          <w:sz w:val="26"/>
          <w:szCs w:val="26"/>
        </w:rPr>
        <w:t xml:space="preserve"> о региональном государственном контроле (надзоре) в сфере туристской индустрии на территории Томской области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bCs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bCs/>
          <w:color w:val="ff0000"/>
          <w:sz w:val="26"/>
          <w:szCs w:val="26"/>
          <w:lang w:eastAsia="ru-RU"/>
        </w:rPr>
      </w:r>
      <w:r/>
    </w:p>
    <w:p>
      <w:pPr>
        <w:pStyle w:val="869"/>
        <w:jc w:val="center"/>
        <w:rPr>
          <w:b w:val="0"/>
          <w:bCs/>
          <w:sz w:val="26"/>
          <w:szCs w:val="26"/>
        </w:rPr>
        <w:outlineLvl w:val="1"/>
      </w:pPr>
      <w:r>
        <w:rPr>
          <w:b w:val="0"/>
          <w:bCs/>
          <w:sz w:val="26"/>
          <w:szCs w:val="26"/>
        </w:rPr>
        <w:t xml:space="preserve">1. Общие положения</w:t>
      </w:r>
      <w:r/>
    </w:p>
    <w:p>
      <w:pPr>
        <w:pStyle w:val="868"/>
        <w:jc w:val="both"/>
      </w:pPr>
      <w:r/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Настоящее Положение устанавливает порядок организации и осуществления регионального государственного контроля (надзора) в сфере туристской индустрии (далее - региональный государственный контроль (надзор)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Томской области.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Предметом р</w:t>
      </w:r>
      <w:r>
        <w:rPr>
          <w:sz w:val="26"/>
          <w:szCs w:val="26"/>
        </w:rPr>
        <w:t xml:space="preserve">егионального государственного контроля (надзора) является соблюдение юридическими лицами, индивидуальными предпринимателями, физическими лицами (далее - контролируемые лица) обязательных требований, установленных Федеральным законом от 24 ноября 1996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основах туристской деятельности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Федеральный закон </w:t>
      </w:r>
      <w:r>
        <w:rPr>
          <w:sz w:val="26"/>
          <w:szCs w:val="26"/>
        </w:rPr>
        <w:t xml:space="preserve">           №</w:t>
      </w:r>
      <w:r>
        <w:rPr>
          <w:sz w:val="26"/>
          <w:szCs w:val="26"/>
        </w:rPr>
        <w:t xml:space="preserve"> 132-ФЗ) и принимаемыми в соответствии с Федеральным законом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 нормативными правовыми актами, а именно: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132-ФЗ, за исключением санаторно-курортных организаций, подведомственных федеральным органам исполнительной власти: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наличие сведений о средстве размещения в реестре классифицированных средств размещения;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постановлением Правительства Российской Федерации от 27.12.2024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1951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Положения о классификации средств размещения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соответствие средства размещения типу и (или) типу и категории, указанным в реестре классифицированных средств размещения;</w:t>
      </w:r>
      <w:r/>
    </w:p>
    <w:p>
      <w:pPr>
        <w:pStyle w:val="868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</w:t>
      </w:r>
      <w:r>
        <w:rPr>
          <w:sz w:val="26"/>
          <w:szCs w:val="26"/>
        </w:rPr>
        <w:t xml:space="preserve">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ссылки в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сеть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) на запись в реестре классифицированных средств размещения, содержащую сведения о средстве ра</w:t>
      </w:r>
      <w:r>
        <w:rPr>
          <w:sz w:val="26"/>
          <w:szCs w:val="26"/>
        </w:rPr>
        <w:t xml:space="preserve">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аналогичным сведениям о средстве размещения, указанным в реестре классифицированных средств размещения;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гостиничных услуг, услуг средств размещения (при </w:t>
      </w:r>
      <w:r>
        <w:rPr>
          <w:sz w:val="26"/>
          <w:szCs w:val="26"/>
        </w:rPr>
        <w:t xml:space="preserve">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</w:t>
      </w:r>
      <w:r>
        <w:rPr>
          <w:sz w:val="26"/>
          <w:szCs w:val="26"/>
        </w:rPr>
        <w:t xml:space="preserve">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отношении деятельности экскурсоводов (гидов), гидов-переводчиков (за исключением случаев оказания услуг экскурсоводом (гидом), гидом-переводчиком на особо охраняемых природных территориях):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 отношении деятельности инструкторов-проводников (за исключением случаев оказания услуг инструктором-проводником на особо охраняемых природных территориях):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действующей аттестации и нагрудной идентификационной карточки у инструктора-проводника при оказании им услуг;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Региональный государственный контроль (надзор) осуществляется в соответствии с Федеральным законом от 31 июля 2020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Федеральный закон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248-ФЗ), с учетом положений статьи 19.5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Региональный государственный контроль (надзор) осуществляет Департамент лицензирования и регионального государственного контроля Томской области (далее - Департамент).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От имени Департамента региональный государственный контроль (надзор) вправе осуществлять следующие должностные лица: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начальник Департамента;</w:t>
      </w:r>
      <w:r/>
    </w:p>
    <w:p>
      <w:pPr>
        <w:pStyle w:val="868"/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заместитель начальника Департамента - председатель комитета организационно-правового обеспечения;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должностное лицо Департамента, в должностные обязанности которого в соответствии с должностным регламентом входит осуществление полномочий по </w:t>
      </w:r>
      <w:r>
        <w:rPr>
          <w:sz w:val="26"/>
          <w:szCs w:val="26"/>
        </w:rPr>
        <w:t xml:space="preserve">региональному государственному контролю (надзору), в том числе проведение профилактических мероприятий и контрольных (надзорных) мероприятий (далее - инспектор).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/>
      <w:bookmarkStart w:id="1" w:name="P65"/>
      <w:r/>
      <w:bookmarkEnd w:id="1"/>
      <w:r>
        <w:rPr>
          <w:sz w:val="26"/>
          <w:szCs w:val="26"/>
        </w:rPr>
        <w:t xml:space="preserve">6.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</w:t>
      </w:r>
      <w:r>
        <w:rPr>
          <w:sz w:val="26"/>
          <w:szCs w:val="26"/>
        </w:rPr>
        <w:t xml:space="preserve">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sz w:val="26"/>
          <w:szCs w:val="26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/>
    </w:p>
    <w:p>
      <w:pPr>
        <w:pStyle w:val="868"/>
        <w:ind w:firstLine="709"/>
        <w:jc w:val="both"/>
        <w:rPr>
          <w:rStyle w:val="880"/>
          <w:sz w:val="26"/>
          <w:szCs w:val="26"/>
        </w:rPr>
      </w:pPr>
      <w:r>
        <w:rPr>
          <w:sz w:val="26"/>
          <w:szCs w:val="26"/>
        </w:rPr>
        <w:t xml:space="preserve">Решение о проведении контрольного (надзорного) мероприятия принимает начальник Департамента.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Инспектор при осуществлении регионального государственного контроля (надзора) имеет права </w:t>
      </w:r>
      <w:r>
        <w:rPr>
          <w:sz w:val="26"/>
          <w:szCs w:val="26"/>
        </w:rPr>
        <w:t xml:space="preserve">и выполняет обязанности, соблюдает ограничения и запреты, установленные статьями 29, 37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Объектами регионального государственного контроля (надзора) являются:</w:t>
      </w:r>
      <w:r/>
    </w:p>
    <w:p>
      <w:pPr>
        <w:ind w:left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деятельность, действия (бездействие):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юридических лиц, индивидуальных предпринимателей, физических лиц (в случаях, установленных федеральными законами), осуществляющих деятельность, связанную с использованием средств размещения;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юридических лиц, индивидуальных предпринимателей, осуществляющих деятельность, связанную с использованием горнолыжных трасс;</w:t>
      </w:r>
      <w:r/>
    </w:p>
    <w:p>
      <w:pPr>
        <w:ind w:right="-14" w:firstLine="724"/>
        <w:jc w:val="both"/>
        <w:spacing w:after="0" w:line="240" w:lineRule="auto"/>
        <w:tabs>
          <w:tab w:val="center" w:pos="1512" w:leader="none"/>
          <w:tab w:val="center" w:pos="3295" w:leader="none"/>
          <w:tab w:val="center" w:pos="5288" w:leader="none"/>
          <w:tab w:val="right" w:pos="9355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юридических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лиц,</w:t>
      </w:r>
      <w:r>
        <w:rPr>
          <w:rFonts w:ascii="PT Astra Serif" w:hAnsi="PT Astra Serif"/>
          <w:sz w:val="26"/>
          <w:szCs w:val="26"/>
        </w:rPr>
        <w:tab/>
        <w:t xml:space="preserve">индивидуальных</w:t>
      </w:r>
      <w:r>
        <w:rPr>
          <w:rFonts w:ascii="PT Astra Serif" w:hAnsi="PT Astra Serif"/>
          <w:sz w:val="26"/>
          <w:szCs w:val="26"/>
        </w:rPr>
        <w:tab/>
        <w:t xml:space="preserve">предпринимателей,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осуществляющих </w:t>
      </w:r>
      <w:r>
        <w:rPr>
          <w:rFonts w:ascii="PT Astra Serif" w:hAnsi="PT Astra Serif"/>
          <w:sz w:val="26"/>
          <w:szCs w:val="26"/>
        </w:rPr>
        <w:t xml:space="preserve">д</w:t>
      </w:r>
      <w:r>
        <w:rPr>
          <w:rFonts w:ascii="PT Astra Serif" w:hAnsi="PT Astra Serif"/>
          <w:sz w:val="26"/>
          <w:szCs w:val="26"/>
        </w:rPr>
        <w:t xml:space="preserve">еятельность, связанную с использованием пляжей; организаций, индивидуальных предпринимателей и физических лиц, применяющих специ</w:t>
      </w:r>
      <w:r>
        <w:rPr>
          <w:rFonts w:ascii="PT Astra Serif" w:hAnsi="PT Astra Serif"/>
          <w:sz w:val="26"/>
          <w:szCs w:val="26"/>
        </w:rPr>
        <w:t xml:space="preserve">альный налоговый режим и предоставляющих услуги экскурсоводов (гидов), гидов-переводчиков; 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 владельцев </w:t>
      </w:r>
      <w:r>
        <w:rPr>
          <w:rFonts w:ascii="PT Astra Serif" w:hAnsi="PT Astra Serif"/>
          <w:sz w:val="26"/>
          <w:szCs w:val="26"/>
        </w:rPr>
        <w:t xml:space="preserve">агрегаторов информации об услугах, владельцев сервисов объявлений в части размещения информации о предоставлении услуг средств размещения, гостиничных услуг; 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  <w:r/>
    </w:p>
    <w:p>
      <w:pPr>
        <w:ind w:left="719" w:right="5216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средств размещения; горнолыжных трасс; пляжей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осуществляет учет объектов регионального государственного контроля (надзора) посредством: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сбора, обработки, анализа и учета информации об объектах регионального государственного контроля (надзора), представляемой </w:t>
      </w:r>
      <w:r>
        <w:rPr>
          <w:rFonts w:ascii="PT Astra Serif" w:hAnsi="PT Astra Serif"/>
          <w:sz w:val="26"/>
          <w:szCs w:val="26"/>
        </w:rPr>
        <w:t xml:space="preserve">Департаменту</w:t>
      </w:r>
      <w:r>
        <w:rPr>
          <w:rFonts w:ascii="PT Astra Serif" w:hAnsi="PT Astra Serif"/>
          <w:sz w:val="26"/>
          <w:szCs w:val="26"/>
        </w:rPr>
        <w:t xml:space="preserve"> федеральными органами власти, органами исполнительной власти субъектов Российской Федерации</w:t>
      </w:r>
      <w:r>
        <w:rPr>
          <w:rFonts w:ascii="PT Astra Serif" w:hAnsi="PT Astra Serif"/>
          <w:sz w:val="26"/>
          <w:szCs w:val="26"/>
        </w:rPr>
        <w:t xml:space="preserve">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информации, получаемой в рамках межведомственного взаимодействия, а также общедоступной информации, в том числе размещенной в «Интернет».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pStyle w:val="862"/>
        <w:numPr>
          <w:ilvl w:val="0"/>
          <w:numId w:val="0"/>
        </w:numPr>
        <w:ind w:right="284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Управление рисками причинения вреда (ущерба) охраняемым законом ценностям</w:t>
      </w:r>
      <w:r/>
    </w:p>
    <w:p>
      <w:pPr>
        <w:spacing w:after="0" w:line="240" w:lineRule="auto"/>
        <w:rPr>
          <w:bCs/>
          <w:lang w:eastAsia="ru-RU"/>
        </w:rPr>
      </w:pPr>
      <w:r>
        <w:rPr>
          <w:bCs/>
          <w:lang w:eastAsia="ru-RU"/>
        </w:rPr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. Региональный государственный контроль (надзор) осуществляется Департаментом на основе управления рисками причинения вреда (ущерба) охраняемым законом ценностям.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 Департамент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значительный риск;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средний риск;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низкий риск.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Отнесение объектов контроля к одной из перечисленных в настоящем пункте категорий риска осуществляется </w:t>
      </w:r>
      <w:r>
        <w:rPr>
          <w:sz w:val="26"/>
          <w:szCs w:val="26"/>
        </w:rPr>
        <w:t xml:space="preserve">Департаментом</w:t>
      </w:r>
      <w:r>
        <w:rPr>
          <w:sz w:val="26"/>
          <w:szCs w:val="26"/>
        </w:rPr>
        <w:t xml:space="preserve"> на основе сопоставления характеристик объектов контроля с </w:t>
      </w:r>
      <w:hyperlink w:tooltip="КРИТЕРИИ" w:anchor="P383" w:history="1">
        <w:r>
          <w:rPr>
            <w:sz w:val="26"/>
            <w:szCs w:val="26"/>
          </w:rPr>
          <w:t xml:space="preserve">Критериями</w:t>
        </w:r>
      </w:hyperlink>
      <w:r>
        <w:rPr>
          <w:sz w:val="26"/>
          <w:szCs w:val="26"/>
        </w:rPr>
        <w:t xml:space="preserve"> отнесения объектов регионального государственного контроля (надзора) в сфере туристской деятельности на территории Томской области к категориям риска причинения вреда (ущерба) охраняемым законом ценностям (приложение № 1 к настоящему положению).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pStyle w:val="862"/>
        <w:numPr>
          <w:ilvl w:val="0"/>
          <w:numId w:val="0"/>
        </w:numPr>
        <w:ind w:right="285" w:hanging="10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Профилактика рисков причинения вреда(ущерба) охраняемым законом ценностям</w:t>
      </w:r>
      <w:r/>
    </w:p>
    <w:p>
      <w:pPr>
        <w:rPr>
          <w:lang w:eastAsia="ru-RU"/>
        </w:rPr>
      </w:pPr>
      <w:r>
        <w:rPr>
          <w:lang w:eastAsia="ru-RU"/>
        </w:rPr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12.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ежегодно в соответствии с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</w:t>
      </w:r>
      <w:r>
        <w:rPr>
          <w:rFonts w:ascii="PT Astra Serif" w:hAnsi="PT Astra Serif"/>
          <w:sz w:val="26"/>
          <w:szCs w:val="26"/>
        </w:rPr>
        <w:t xml:space="preserve">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13. </w:t>
      </w:r>
      <w:r>
        <w:rPr>
          <w:rFonts w:ascii="PT Astra Serif" w:hAnsi="PT Astra Serif"/>
          <w:sz w:val="26"/>
          <w:szCs w:val="26"/>
        </w:rPr>
        <w:t xml:space="preserve">Утвержденная </w:t>
      </w:r>
      <w:r>
        <w:rPr>
          <w:rFonts w:ascii="PT Astra Serif" w:hAnsi="PT Astra Serif"/>
          <w:sz w:val="26"/>
          <w:szCs w:val="26"/>
        </w:rPr>
        <w:t xml:space="preserve">начальником Департамента </w:t>
      </w:r>
      <w:r>
        <w:rPr>
          <w:rFonts w:ascii="PT Astra Serif" w:hAnsi="PT Astra Serif"/>
          <w:sz w:val="26"/>
          <w:szCs w:val="26"/>
        </w:rPr>
        <w:t xml:space="preserve">программа профилактики размещается </w:t>
      </w:r>
      <w:r>
        <w:rPr>
          <w:rFonts w:ascii="PT Astra Serif" w:hAnsi="PT Astra Serif"/>
          <w:sz w:val="26"/>
          <w:szCs w:val="26"/>
        </w:rPr>
        <w:t xml:space="preserve">в сети </w:t>
      </w:r>
      <w:r>
        <w:rPr>
          <w:rFonts w:ascii="PT Astra Serif" w:hAnsi="PT Astra Serif"/>
          <w:sz w:val="26"/>
          <w:szCs w:val="26"/>
        </w:rPr>
        <w:t xml:space="preserve">«</w:t>
      </w:r>
      <w:r>
        <w:rPr>
          <w:rFonts w:ascii="PT Astra Serif" w:hAnsi="PT Astra Serif"/>
          <w:sz w:val="26"/>
          <w:szCs w:val="26"/>
        </w:rPr>
        <w:t xml:space="preserve">Интернет</w:t>
      </w:r>
      <w:r>
        <w:rPr>
          <w:rFonts w:ascii="PT Astra Serif" w:hAnsi="PT Astra Serif"/>
          <w:sz w:val="26"/>
          <w:szCs w:val="26"/>
        </w:rPr>
        <w:t xml:space="preserve">»</w:t>
      </w:r>
      <w:r>
        <w:rPr>
          <w:rFonts w:ascii="PT Astra Serif" w:hAnsi="PT Astra Serif"/>
          <w:sz w:val="26"/>
          <w:szCs w:val="26"/>
        </w:rPr>
        <w:t xml:space="preserve"> на официальном сайте Департамента (далее - сайт Департамента)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14.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 </w:t>
      </w:r>
      <w:r>
        <w:rPr>
          <w:rFonts w:ascii="PT Astra Serif" w:hAnsi="PT Astra Serif"/>
          <w:sz w:val="26"/>
          <w:szCs w:val="26"/>
        </w:rPr>
        <w:t xml:space="preserve">Департамент </w:t>
      </w:r>
      <w:r>
        <w:rPr>
          <w:rFonts w:ascii="PT Astra Serif" w:hAnsi="PT Astra Serif"/>
          <w:sz w:val="26"/>
          <w:szCs w:val="26"/>
        </w:rPr>
        <w:t xml:space="preserve">проводит следующие виды профилактических мероприятий:</w:t>
      </w:r>
      <w:r/>
    </w:p>
    <w:p>
      <w:pPr>
        <w:ind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информирование;</w:t>
      </w:r>
      <w:r/>
    </w:p>
    <w:p>
      <w:pPr>
        <w:ind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обобщение правоприменительной практики;</w:t>
      </w:r>
      <w:r/>
    </w:p>
    <w:p>
      <w:pPr>
        <w:ind w:firstLine="699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объявление предостережения;</w:t>
      </w:r>
      <w:r/>
    </w:p>
    <w:p>
      <w:pPr>
        <w:ind w:firstLine="697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консультирование;</w:t>
      </w:r>
      <w:r/>
    </w:p>
    <w:p>
      <w:pPr>
        <w:ind w:firstLine="697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) профилактический визит</w:t>
      </w:r>
      <w:r>
        <w:rPr>
          <w:rFonts w:ascii="PT Astra Serif" w:hAnsi="PT Astra Serif"/>
          <w:sz w:val="26"/>
          <w:szCs w:val="26"/>
        </w:rPr>
        <w:t xml:space="preserve">;</w:t>
      </w:r>
      <w:r/>
    </w:p>
    <w:p>
      <w:pPr>
        <w:pStyle w:val="868"/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меры стимулирования добросовестности в виде публичной оценки уровня соблюдения обязательных требований.</w:t>
      </w:r>
      <w:r/>
    </w:p>
    <w:p>
      <w:pPr>
        <w:ind w:firstLine="697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15.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осуществляет информирование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контролируемых лиц и иных заинтересованных лиц по вопросам</w:t>
      </w:r>
      <w:r>
        <w:rPr>
          <w:rFonts w:ascii="PT Astra Serif" w:hAnsi="PT Astra Serif"/>
          <w:sz w:val="26"/>
          <w:szCs w:val="26"/>
        </w:rPr>
        <w:t xml:space="preserve"> соблюдения обязательных требований в порядке, установленном статьей 46 Федерального закона № 248-ФЗ.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16. </w:t>
      </w:r>
      <w:r>
        <w:rPr>
          <w:rFonts w:ascii="PT Astra Serif" w:hAnsi="PT Astra Serif"/>
          <w:sz w:val="26"/>
          <w:szCs w:val="26"/>
        </w:rPr>
        <w:t xml:space="preserve">Доклад, содержащий результаты обобщения правоприменительной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практики, должен быть подготовлен не позднее 1 марта года, следующего за отчетным годом, утвержден </w:t>
      </w:r>
      <w:r>
        <w:rPr>
          <w:rFonts w:ascii="PT Astra Serif" w:hAnsi="PT Astra Serif"/>
          <w:sz w:val="26"/>
          <w:szCs w:val="26"/>
        </w:rPr>
        <w:t xml:space="preserve">начальником Департамента </w:t>
      </w:r>
      <w:r>
        <w:rPr>
          <w:rFonts w:ascii="PT Astra Serif" w:hAnsi="PT Astra Serif"/>
          <w:sz w:val="26"/>
          <w:szCs w:val="26"/>
        </w:rPr>
        <w:t xml:space="preserve">до 12 марта и размещен на сайте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>
        <w:rPr>
          <w:rFonts w:ascii="PT Astra Serif" w:hAnsi="PT Astra Serif"/>
          <w:sz w:val="26"/>
          <w:szCs w:val="26"/>
        </w:rPr>
        <w:t xml:space="preserve">в</w:t>
      </w:r>
      <w:r>
        <w:rPr>
          <w:rFonts w:ascii="PT Astra Serif" w:hAnsi="PT Astra Serif"/>
          <w:sz w:val="26"/>
          <w:szCs w:val="26"/>
        </w:rPr>
        <w:t xml:space="preserve"> сети</w:t>
      </w:r>
      <w:r>
        <w:rPr>
          <w:rFonts w:ascii="PT Astra Serif" w:hAnsi="PT Astra Serif"/>
          <w:sz w:val="26"/>
          <w:szCs w:val="26"/>
        </w:rPr>
        <w:t xml:space="preserve"> «Интернет» не позднее 3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17. </w:t>
      </w:r>
      <w:r>
        <w:rPr>
          <w:rFonts w:ascii="PT Astra Serif" w:hAnsi="PT Astra Serif"/>
          <w:sz w:val="26"/>
          <w:szCs w:val="26"/>
        </w:rPr>
        <w:t xml:space="preserve">В случае объявления </w:t>
      </w:r>
      <w:r>
        <w:rPr>
          <w:rFonts w:ascii="PT Astra Serif" w:hAnsi="PT Astra Serif"/>
          <w:sz w:val="26"/>
          <w:szCs w:val="26"/>
        </w:rPr>
        <w:t xml:space="preserve">Департаментом</w:t>
      </w:r>
      <w:r>
        <w:rPr>
          <w:rFonts w:ascii="PT Astra Serif" w:hAnsi="PT Astra Serif"/>
          <w:sz w:val="26"/>
          <w:szCs w:val="26"/>
        </w:rPr>
        <w:t xml:space="preserve"> контролируемому лицу предостережения о недопус</w:t>
      </w:r>
      <w:r>
        <w:rPr>
          <w:rFonts w:ascii="PT Astra Serif" w:hAnsi="PT Astra Serif"/>
          <w:sz w:val="26"/>
          <w:szCs w:val="26"/>
        </w:rPr>
        <w:t xml:space="preserve">тимости нарушения обязательных требований (далее - предостережение) в соответствии со статьей 49 Федерального закона № 248-ФЗ контролируемое лицо в течение 10 дней со дня получения предостережения вправе подать в отношении этого предостережения возражение.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18.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либо с использованием «Единого портала государственных и муниципальных услуг (функций)» (далее – единый портал государственных и муниципальных услуг), либо иными указанными в предостережении способами.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19. </w:t>
      </w:r>
      <w:r>
        <w:rPr>
          <w:rFonts w:ascii="PT Astra Serif" w:hAnsi="PT Astra Serif"/>
          <w:sz w:val="26"/>
          <w:szCs w:val="26"/>
        </w:rPr>
        <w:t xml:space="preserve">Возражение в отношении предостережения должно содержать: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фамилию, имя и от</w:t>
      </w:r>
      <w:r>
        <w:rPr>
          <w:rFonts w:ascii="PT Astra Serif" w:hAnsi="PT Astra Serif"/>
          <w:sz w:val="26"/>
          <w:szCs w:val="26"/>
        </w:rPr>
        <w:t xml:space="preserve">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(при наличии) и почтовый адрес, по которым должен быть направлен ответ;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сведения о предостережении и номер предостережения, направленного контролируемому лицу;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20.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рассматрива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тся в течение 15 рабочих дней со дня поступления такого возражения в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21. </w:t>
      </w:r>
      <w:r>
        <w:rPr>
          <w:rFonts w:ascii="PT Astra Serif" w:hAnsi="PT Astra Serif"/>
          <w:sz w:val="26"/>
          <w:szCs w:val="26"/>
        </w:rPr>
        <w:t xml:space="preserve">По результатам рассмотрения </w:t>
      </w:r>
      <w:r>
        <w:rPr>
          <w:rFonts w:ascii="PT Astra Serif" w:hAnsi="PT Astra Serif"/>
          <w:sz w:val="26"/>
          <w:szCs w:val="26"/>
        </w:rPr>
        <w:t xml:space="preserve">Департаментом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принимается одно из следующих решений: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об оставлении предостережения без изменения;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об отмене предостережения.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color w:val="0070c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22. </w:t>
      </w:r>
      <w:r>
        <w:rPr>
          <w:rFonts w:ascii="PT Astra Serif" w:hAnsi="PT Astra Serif"/>
          <w:sz w:val="26"/>
          <w:szCs w:val="26"/>
        </w:rPr>
        <w:t xml:space="preserve">Информация о принятом решении, предусмотренном</w:t>
      </w:r>
      <w:r>
        <w:rPr>
          <w:rFonts w:ascii="PT Astra Serif" w:hAnsi="PT Astra Serif"/>
          <w:color w:val="0070c0"/>
          <w:sz w:val="26"/>
          <w:szCs w:val="26"/>
        </w:rPr>
        <w:t xml:space="preserve"> 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пунктом 2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1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настоящего Положения, в течение одного рабочего дня со дня его п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риня</w:t>
      </w:r>
      <w:r>
        <w:rPr>
          <w:rFonts w:ascii="PT Astra Serif" w:hAnsi="PT Astra Serif"/>
          <w:sz w:val="26"/>
          <w:szCs w:val="26"/>
        </w:rPr>
        <w:t xml:space="preserve">тия направляется контролируемому лицу, представившему возражение в отношении предостережения.</w:t>
      </w:r>
      <w:r/>
    </w:p>
    <w:p>
      <w:pPr>
        <w:ind w:firstLine="699"/>
        <w:jc w:val="both"/>
        <w:spacing w:after="0" w:line="240" w:lineRule="auto"/>
        <w:tabs>
          <w:tab w:val="left" w:pos="99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Инспектор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проводит консультирование контролируемых лиц по телефону, посредством видео-конференц-связи,</w:t>
      </w:r>
      <w:r>
        <w:rPr>
          <w:rFonts w:ascii="PT Astra Serif" w:hAnsi="PT Astra Serif"/>
          <w:sz w:val="26"/>
          <w:szCs w:val="26"/>
        </w:rPr>
        <w:tab/>
        <w:t xml:space="preserve">использования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мобильного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приложения</w:t>
      </w:r>
      <w:r>
        <w:rPr>
          <w:rFonts w:ascii="PT Astra Serif" w:hAnsi="PT Astra Serif"/>
          <w:sz w:val="26"/>
          <w:szCs w:val="26"/>
        </w:rPr>
        <w:t xml:space="preserve"> «</w:t>
      </w:r>
      <w:r>
        <w:rPr>
          <w:rFonts w:ascii="PT Astra Serif" w:hAnsi="PT Astra Serif"/>
          <w:sz w:val="26"/>
          <w:szCs w:val="26"/>
        </w:rPr>
        <w:t xml:space="preserve">Инспекто</w:t>
      </w:r>
      <w:r>
        <w:rPr>
          <w:rFonts w:ascii="PT Astra Serif" w:hAnsi="PT Astra Serif"/>
          <w:sz w:val="26"/>
          <w:szCs w:val="26"/>
        </w:rPr>
        <w:t xml:space="preserve">р», на личном приеме либо в ходе проведения профилактического мероприятия, контрольного (надзорного)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муниципальных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услуг.</w:t>
      </w:r>
      <w:r/>
    </w:p>
    <w:p>
      <w:pPr>
        <w:pStyle w:val="868"/>
        <w:ind w:firstLine="69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Консультирование, в том числе письменное консультирование, осуществляется по следующим вопросам: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в соответствии с пунктом 2 настоящего Положения, содержание и последствия их изменения;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необходимые</w:t>
      </w:r>
      <w:r>
        <w:rPr>
          <w:rFonts w:ascii="PT Astra Serif" w:hAnsi="PT Astra Serif"/>
          <w:sz w:val="26"/>
          <w:szCs w:val="26"/>
        </w:rPr>
        <w:t xml:space="preserve">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</w:t>
      </w:r>
      <w:r>
        <w:rPr>
          <w:rFonts w:ascii="PT Astra Serif" w:hAnsi="PT Astra Serif"/>
          <w:sz w:val="26"/>
          <w:szCs w:val="26"/>
        </w:rPr>
        <w:t xml:space="preserve">соответствии с пунктом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2 настоящего Положения;</w:t>
      </w:r>
      <w:r/>
    </w:p>
    <w:p>
      <w:pPr>
        <w:ind w:right="97"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осуществление регионального государственного контроля (надзора).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23. </w:t>
      </w:r>
      <w:r>
        <w:rPr>
          <w:rFonts w:ascii="PT Astra Serif" w:hAnsi="PT Astra Serif"/>
          <w:sz w:val="26"/>
          <w:szCs w:val="26"/>
        </w:rPr>
        <w:t xml:space="preserve">Профилактический визит проводится в форме профилактической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беседы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нспектором</w:t>
      </w:r>
      <w:r>
        <w:rPr>
          <w:rFonts w:ascii="PT Astra Serif" w:hAnsi="PT Astra Serif"/>
          <w:sz w:val="26"/>
          <w:szCs w:val="26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ходе профилактического визита контролируемое лицо информируется об обязате</w:t>
      </w:r>
      <w:r>
        <w:rPr>
          <w:rFonts w:ascii="PT Astra Serif" w:hAnsi="PT Astra Serif"/>
          <w:sz w:val="26"/>
          <w:szCs w:val="26"/>
        </w:rPr>
        <w:t xml:space="preserve">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пунктом 2 настоящего Положения, а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</w:t>
      </w:r>
      <w:r>
        <w:rPr>
          <w:rFonts w:ascii="PT Astra Serif" w:hAnsi="PT Astra Serif"/>
          <w:sz w:val="26"/>
          <w:szCs w:val="26"/>
        </w:rPr>
        <w:t xml:space="preserve"> осуществляет ознакомление с объектом контроля и проводит оценку уровня соблюдения контролируемым лицом обязательных требований.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Профилактический визит проводится по инициативе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(обязательный профилактический визит) или по инициативе контролируемого лица.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Профилактические визиты по инициативе </w:t>
      </w:r>
      <w:r>
        <w:rPr>
          <w:rFonts w:ascii="PT Astra Serif" w:hAnsi="PT Astra Serif"/>
          <w:b/>
          <w:bCs/>
          <w:color w:val="00b050"/>
          <w:sz w:val="26"/>
          <w:szCs w:val="26"/>
        </w:rPr>
        <w:t xml:space="preserve">контролируемого лица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trike/>
          <w:color w:val="ff0000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проводятся в соответствии со статьей 52</w:t>
      </w:r>
      <w:r>
        <w:rPr>
          <w:rFonts w:ascii="PT Astra Serif" w:hAnsi="PT Astra Serif"/>
          <w:sz w:val="26"/>
          <w:szCs w:val="26"/>
          <w:vertAlign w:val="superscript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 Федерального закона № 248-ФЗ.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Обязательный профилактический визит в рамках регионального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государственного контроля (надзора) проводится в случаях, предусмотренных пунктами 2 и 4 части 1 статьи 52</w:t>
      </w:r>
      <w:r>
        <w:rPr>
          <w:rFonts w:ascii="PT Astra Serif" w:hAnsi="PT Astra Serif"/>
          <w:sz w:val="26"/>
          <w:szCs w:val="26"/>
          <w:vertAlign w:val="superscript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Федерального закона № 248-ФЗ.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случае, предусмотренном пунктом 2 части 1 статьи 52</w:t>
      </w:r>
      <w:r>
        <w:rPr>
          <w:rFonts w:ascii="PT Astra Serif" w:hAnsi="PT Astra Serif"/>
          <w:sz w:val="26"/>
          <w:szCs w:val="26"/>
          <w:vertAlign w:val="superscript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Федерального закона № 248-ФЗ, обязательный профилактический визит проводится не позднее шести месяцев со дня включения сведений в реестр классифицированных средств размещения.</w:t>
      </w:r>
      <w:r/>
    </w:p>
    <w:p>
      <w:pPr>
        <w:pStyle w:val="868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целях применения мер стимулирования добросовестности контролируемых лиц, а также повышения информированности граждан </w:t>
      </w:r>
      <w:r>
        <w:rPr>
          <w:sz w:val="26"/>
          <w:szCs w:val="26"/>
        </w:rPr>
        <w:t xml:space="preserve">и организаций о соблюдении контролируемыми лицами обязательных требований к объекту контроля или контролируемому лицу Департаментом по результатам проведения профилактического визита присваивается публичная оценка уровня соблюдения обязательных требований.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Публичная оценка уровня соблюдения обязательных требований присваивается не позднее 5 рабочих дней со дня проведения профилактического визита.</w:t>
      </w:r>
      <w:r/>
    </w:p>
    <w:p>
      <w:pPr>
        <w:pStyle w:val="868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Критерии присвоения публичной оценки уровня соблюдения обязательных требований: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/>
      <w:bookmarkStart w:id="2" w:name="P188"/>
      <w:r/>
      <w:bookmarkEnd w:id="2"/>
      <w:r>
        <w:rPr>
          <w:sz w:val="26"/>
          <w:szCs w:val="26"/>
        </w:rPr>
        <w:t xml:space="preserve">1) высокая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не выявлено нарушение обязате</w:t>
      </w:r>
      <w:r>
        <w:rPr>
          <w:sz w:val="26"/>
          <w:szCs w:val="26"/>
        </w:rPr>
        <w:t xml:space="preserve">льных требований или выявленное нарушение было устранено до окончания профилактического визита и в течение предшествующих профилактическому визиту шести месяцев в Департамент не поступало информации от органов государственной власти, и (или) органов местно</w:t>
      </w:r>
      <w:r>
        <w:rPr>
          <w:sz w:val="26"/>
          <w:szCs w:val="26"/>
        </w:rPr>
        <w:t xml:space="preserve">го самоуправления, и (или) общественных организаций и (или) жалоб (обращений) граждан и (или) не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контроля;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удовлетворительная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выявлено одно нарушение и в течение предшествующих </w:t>
      </w:r>
      <w:r>
        <w:rPr>
          <w:sz w:val="26"/>
          <w:szCs w:val="26"/>
        </w:rPr>
        <w:t xml:space="preserve">профилактическому визиту шести месяцев в Департамент не поступало информации от органов государственной власти, и (или) органов местно</w:t>
      </w:r>
      <w:r>
        <w:rPr>
          <w:sz w:val="26"/>
          <w:szCs w:val="26"/>
        </w:rPr>
        <w:t xml:space="preserve">го самоуправления, и (или) общественных организаций и (или) жалоб (обращений) граждан и (или) не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контроля;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/>
      <w:bookmarkStart w:id="3" w:name="P190"/>
      <w:r/>
      <w:bookmarkEnd w:id="3"/>
      <w:r>
        <w:rPr>
          <w:sz w:val="26"/>
          <w:szCs w:val="26"/>
        </w:rPr>
        <w:t xml:space="preserve">3) низкая оценка соблюдения обязательных требований присваивается объекту контроля или контролируемому лицу, если в ходе про</w:t>
      </w:r>
      <w:r>
        <w:rPr>
          <w:sz w:val="26"/>
          <w:szCs w:val="26"/>
        </w:rPr>
        <w:t xml:space="preserve">ведения профилактического визита выявлено два и более нарушения обязательных требований и в течение предшествующих профилактическому визиту шести месяцев в Департамент поступила информация от органов государственной власти, и (или) органов местного самоупр</w:t>
      </w:r>
      <w:r>
        <w:rPr>
          <w:sz w:val="26"/>
          <w:szCs w:val="26"/>
        </w:rPr>
        <w:t xml:space="preserve">авления, и (или) общественных организаций и (или) две и более жалобы (обращения) граждан и (или)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Публ</w:t>
      </w:r>
      <w:r>
        <w:rPr>
          <w:sz w:val="26"/>
          <w:szCs w:val="26"/>
        </w:rPr>
        <w:t xml:space="preserve">ичная оценка уровня соблюдения обязательных требований присваивается контролируемому лицу в случае, если все объекты контроля, на которых контролируемое лицо осуществляет подконтрольный вид деятельности, соответствуют одному из указанных в подпунктах 1) - </w:t>
      </w:r>
      <w:hyperlink w:tooltip="3) низк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выявлено два и более нарушения обязательных требований и в течение предшествующих профилактическому виз" w:anchor="P190" w:history="1">
        <w:r>
          <w:rPr>
            <w:sz w:val="26"/>
            <w:szCs w:val="26"/>
          </w:rPr>
          <w:t xml:space="preserve">3)</w:t>
        </w:r>
      </w:hyperlink>
      <w:r>
        <w:rPr>
          <w:sz w:val="26"/>
          <w:szCs w:val="26"/>
        </w:rPr>
        <w:t xml:space="preserve"> настоящего пункта критериям.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Контролируемым лицам и (или) объектам контроля, не соответствующим ни одному из выш</w:t>
      </w:r>
      <w:r>
        <w:rPr>
          <w:sz w:val="26"/>
          <w:szCs w:val="26"/>
        </w:rPr>
        <w:t xml:space="preserve">еуказанных критериев и (или) деятельность которых в объектах контроля соответствует разным критериям, а также контролируемым лицам, не инициировавшим проведение профилактического визита, публичная оценка соблюдения обязательных требований не присваивается.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 присв</w:t>
      </w:r>
      <w:r>
        <w:rPr>
          <w:sz w:val="26"/>
          <w:szCs w:val="26"/>
        </w:rPr>
        <w:t xml:space="preserve">оении публичной оценки соблюдения обязательных требований Департамент извещает контролируемое лицо не позднее 5 рабочих дней со дня присвоения публичной оценки соблюдения обязательных требований любым способом, обеспечивающим фиксирование такого извещения.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Пересмотр публичной оценки </w:t>
      </w:r>
      <w:r>
        <w:rPr>
          <w:sz w:val="26"/>
          <w:szCs w:val="26"/>
        </w:rPr>
        <w:t xml:space="preserve">соблюдения обязательных требований производится по заявлению контролируемого лица о проведении профилактического визита не ранее чем через один год после присвоения публичной оценки соблюдения обязательных требований в ходе нового профилактического визита.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если в ходе контрольного (надзорного) мероприятия, предусматривающего взаимодействие с контролируемым лицом, которому ранее была присвоена высокая или удовлетворительная </w:t>
      </w:r>
      <w:r>
        <w:rPr>
          <w:sz w:val="26"/>
          <w:szCs w:val="26"/>
        </w:rPr>
        <w:t xml:space="preserve">публичная оценка соблюдения обязательных требований, выявлены нарушения требований в сфере туристской индустрии, а также в случае поступления информации от органов государственной власти, и (или) органов местного самоуправления, и (или) общественных органи</w:t>
      </w:r>
      <w:r>
        <w:rPr>
          <w:sz w:val="26"/>
          <w:szCs w:val="26"/>
        </w:rPr>
        <w:t xml:space="preserve">заций и (или) двух и более жалоб (обращений) граждан и (или) обнаружения информации в средствах массовой информации о нарушениях требований в сфере туристской индустрии контролируемыми лицами и (или) на объектах контроля присвоенная публичная оценка соблюд</w:t>
      </w:r>
      <w:r>
        <w:rPr>
          <w:sz w:val="26"/>
          <w:szCs w:val="26"/>
        </w:rPr>
        <w:t xml:space="preserve">ения обязательных требований аннулируется, о чем контролируемое лицо уведомляется Департаментом не позднее 5 рабочих дней с даты аннулирования публичной оценки соблюдения обязательных требований любым способом, обеспечивающим фиксирование такого извещения.</w:t>
      </w:r>
      <w:r/>
    </w:p>
    <w:p>
      <w:pPr>
        <w:ind w:left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pStyle w:val="862"/>
        <w:numPr>
          <w:ilvl w:val="0"/>
          <w:numId w:val="0"/>
        </w:numPr>
        <w:ind w:right="285"/>
        <w:spacing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  <w:t xml:space="preserve">4. Контрольные (надзорные) мероприятия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31.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(надзора) плановые контрольные (надзорные) мероприятия не проводятся.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32.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(надзора) проводятся следующие контрольные (надзорные) мероприятия с взаимодействием с контролируемым лицом: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контрольная закупка;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мониторинговая закупка;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инспекционный визит;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  <w:t xml:space="preserve">4</w:t>
      </w:r>
      <w:r>
        <w:rPr>
          <w:rFonts w:ascii="PT Astra Serif" w:hAnsi="PT Astra Serif"/>
          <w:color w:val="ff0000"/>
          <w:sz w:val="26"/>
          <w:szCs w:val="26"/>
        </w:rPr>
        <w:t xml:space="preserve">) документарная проверка;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) выездная проверка.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33. </w:t>
      </w:r>
      <w:r>
        <w:rPr>
          <w:rFonts w:ascii="PT Astra Serif" w:hAnsi="PT Astra Serif"/>
          <w:sz w:val="26"/>
          <w:szCs w:val="26"/>
        </w:rPr>
        <w:t xml:space="preserve">Наблюдение за соблюдением обязательных требований осуществляется на основании задания </w:t>
      </w:r>
      <w:r>
        <w:rPr>
          <w:rFonts w:ascii="PT Astra Serif" w:hAnsi="PT Astra Serif"/>
          <w:sz w:val="26"/>
          <w:szCs w:val="26"/>
        </w:rPr>
        <w:t xml:space="preserve">начальника Департамента</w:t>
      </w:r>
      <w:r>
        <w:rPr>
          <w:rFonts w:ascii="PT Astra Serif" w:hAnsi="PT Astra Serif"/>
          <w:sz w:val="26"/>
          <w:szCs w:val="26"/>
        </w:rPr>
        <w:t xml:space="preserve">. Задание включает перечень обязательных требований, из числа указанн</w:t>
      </w:r>
      <w:r>
        <w:rPr>
          <w:rFonts w:ascii="PT Astra Serif" w:hAnsi="PT Astra Serif"/>
          <w:sz w:val="26"/>
          <w:szCs w:val="26"/>
        </w:rPr>
        <w:t xml:space="preserve">ых в пункте 2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нспектором</w:t>
      </w:r>
      <w:r>
        <w:rPr>
          <w:rFonts w:ascii="PT Astra Serif" w:hAnsi="PT Astra Serif"/>
          <w:sz w:val="26"/>
          <w:szCs w:val="26"/>
        </w:rPr>
        <w:t xml:space="preserve"> по результатам осуществления наблюдения за соблюдением обязательных требований. Задание должн</w:t>
      </w:r>
      <w:r>
        <w:rPr>
          <w:rFonts w:ascii="PT Astra Serif" w:hAnsi="PT Astra Serif"/>
          <w:sz w:val="26"/>
          <w:szCs w:val="26"/>
        </w:rPr>
        <w:t xml:space="preserve">о включать в себя перечень источников, на основании которых поступают сведения, используемые при осуществлении наблюдения за соблюдением (государственные и муниципальные информационные системы, данные из сети «Интернет», включая агрегаторы информации об ус</w:t>
      </w:r>
      <w:r>
        <w:rPr>
          <w:rFonts w:ascii="PT Astra Serif" w:hAnsi="PT Astra Serif"/>
          <w:sz w:val="26"/>
          <w:szCs w:val="26"/>
        </w:rPr>
        <w:t xml:space="preserve">лугах, сервисы размещения объявлений, социальные сети и иные общедоступные данные, а также данные, полученные с использованием работающих в автоматическом режиме технических средств фиксации правонарушений, имеющих функции фото- и киносъемки, видеозаписи).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34.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</w:t>
      </w:r>
      <w:r>
        <w:rPr>
          <w:rFonts w:ascii="PT Astra Serif" w:hAnsi="PT Astra Serif"/>
          <w:sz w:val="26"/>
          <w:szCs w:val="26"/>
        </w:rPr>
        <w:t xml:space="preserve"> 1)</w:t>
      </w:r>
      <w:r>
        <w:rPr>
          <w:rFonts w:ascii="PT Astra Serif" w:hAnsi="PT Astra Serif"/>
          <w:sz w:val="26"/>
          <w:szCs w:val="26"/>
        </w:rPr>
        <w:t xml:space="preserve">, подпункте </w:t>
      </w:r>
      <w:r>
        <w:rPr>
          <w:rFonts w:ascii="PT Astra Serif" w:hAnsi="PT Astra Serif"/>
          <w:sz w:val="26"/>
          <w:szCs w:val="26"/>
        </w:rPr>
        <w:t xml:space="preserve">2)</w:t>
      </w:r>
      <w:r>
        <w:rPr>
          <w:rFonts w:ascii="PT Astra Serif" w:hAnsi="PT Astra Serif"/>
          <w:sz w:val="26"/>
          <w:szCs w:val="26"/>
        </w:rPr>
        <w:t xml:space="preserve">, абзацами третьим, пятым (в части наличия ссылк</w:t>
      </w:r>
      <w:r>
        <w:rPr>
          <w:rFonts w:ascii="PT Astra Serif" w:hAnsi="PT Astra Serif"/>
          <w:sz w:val="26"/>
          <w:szCs w:val="26"/>
        </w:rPr>
        <w:t xml:space="preserve">и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пункта 2 настоящего Положения,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 </w:t>
      </w:r>
      <w:r>
        <w:rPr>
          <w:rFonts w:ascii="PT Astra Serif" w:hAnsi="PT Astra Serif"/>
          <w:sz w:val="26"/>
          <w:szCs w:val="26"/>
        </w:rPr>
        <w:t xml:space="preserve">составляет акт контрольного (надзорного) мероприятия и выдает контролируемому лицу предписание об устранении выявленных нарушений обязательных требований.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35.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наблюдения за соблюдением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 признаков нарушения обязательных требований, указанных в пункте 2 </w:t>
      </w:r>
      <w:r>
        <w:rPr>
          <w:rFonts w:ascii="PT Astra Serif" w:hAnsi="PT Astra Serif"/>
          <w:sz w:val="26"/>
          <w:szCs w:val="26"/>
          <w:highlight w:val="white"/>
        </w:rPr>
        <w:t xml:space="preserve">настоящего Положения, за исключением обязательных требований, указанных </w:t>
      </w:r>
      <w:r>
        <w:rPr>
          <w:rFonts w:ascii="PT Astra Serif" w:hAnsi="PT Astra Serif"/>
          <w:sz w:val="26"/>
          <w:szCs w:val="26"/>
          <w:highlight w:val="white"/>
        </w:rPr>
        <w:t xml:space="preserve">в пункте 3</w:t>
      </w: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Положения,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принимает одно из следующих решений: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highlight w:val="white"/>
        </w:rPr>
      </w:r>
      <w:r/>
    </w:p>
    <w:p>
      <w:pPr>
        <w:ind w:right="-14"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выдает предостережение о необходимости соблюдения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требований;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36. </w:t>
      </w:r>
      <w:r>
        <w:rPr>
          <w:rFonts w:ascii="PT Astra Serif" w:hAnsi="PT Astra Serif"/>
          <w:sz w:val="26"/>
          <w:szCs w:val="26"/>
        </w:rPr>
        <w:t xml:space="preserve">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на основании задания </w:t>
      </w:r>
      <w:r>
        <w:rPr>
          <w:rFonts w:ascii="PT Astra Serif" w:hAnsi="PT Astra Serif"/>
          <w:sz w:val="26"/>
          <w:szCs w:val="26"/>
        </w:rPr>
        <w:t xml:space="preserve"> начальника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, в том числе задания, содержащегося в планах работы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. Задание включает перечень обязательных требований из числа указанных в пункте 2 настоящего Положения, оценка соблюде</w:t>
      </w:r>
      <w:r>
        <w:rPr>
          <w:rFonts w:ascii="PT Astra Serif" w:hAnsi="PT Astra Serif"/>
          <w:sz w:val="26"/>
          <w:szCs w:val="26"/>
        </w:rPr>
        <w:t xml:space="preserve">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объектов или территорий (открытых для посещения неограниченным кругом лиц), в отношении которых проводитс</w:t>
      </w:r>
      <w:r>
        <w:rPr>
          <w:rFonts w:ascii="PT Astra Serif" w:hAnsi="PT Astra Serif"/>
          <w:sz w:val="26"/>
          <w:szCs w:val="26"/>
        </w:rPr>
        <w:t xml:space="preserve">я выездное обследование, перечень сведений, представляемых должностным лицом контрольного (надзорного) органа, осуществляющим наблюдение за соблюдением обязательных требований, по результатам осуществления наблюдения за соблюдением обязательных требований.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37. </w:t>
      </w:r>
      <w:r>
        <w:rPr>
          <w:rFonts w:ascii="PT Astra Serif" w:hAnsi="PT Astra Serif"/>
          <w:sz w:val="26"/>
          <w:szCs w:val="26"/>
        </w:rPr>
        <w:t xml:space="preserve">Задание, предусмотрен</w:t>
      </w:r>
      <w:r>
        <w:rPr>
          <w:rFonts w:ascii="PT Astra Serif" w:hAnsi="PT Astra Serif"/>
          <w:sz w:val="26"/>
          <w:szCs w:val="26"/>
          <w:highlight w:val="white"/>
        </w:rPr>
        <w:t xml:space="preserve">ное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пунктом 36 настоящего</w:t>
      </w:r>
      <w:r>
        <w:rPr>
          <w:rFonts w:ascii="PT Astra Serif" w:hAnsi="PT Astra Serif"/>
          <w:sz w:val="26"/>
          <w:szCs w:val="26"/>
          <w:highlight w:val="white"/>
        </w:rPr>
        <w:t xml:space="preserve"> Положения,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выдается в том числе в случае поступления в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сведений, предусмотренн</w:t>
      </w:r>
      <w:r>
        <w:rPr>
          <w:rFonts w:ascii="PT Astra Serif" w:hAnsi="PT Astra Serif"/>
          <w:sz w:val="26"/>
          <w:szCs w:val="26"/>
        </w:rPr>
        <w:t xml:space="preserve">ых пунктом 3 статьи 418.3 Налогового кодекса Российской Федерации.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38. </w:t>
      </w:r>
      <w:r>
        <w:rPr>
          <w:rFonts w:ascii="PT Astra Serif" w:hAnsi="PT Astra Serif"/>
          <w:sz w:val="26"/>
          <w:szCs w:val="26"/>
        </w:rPr>
        <w:t xml:space="preserve">В ходе выездного обследования могут совершаться следующие</w:t>
      </w:r>
      <w:r>
        <w:rPr>
          <w:rFonts w:ascii="PT Astra Serif" w:hAnsi="PT Astra Serif"/>
          <w:sz w:val="26"/>
          <w:szCs w:val="26"/>
        </w:rPr>
        <w:t xml:space="preserve"> контрольные (надзорные) действия:</w:t>
      </w:r>
      <w:r/>
    </w:p>
    <w:p>
      <w:pPr>
        <w:pStyle w:val="868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868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отбор проб (образцов);</w:t>
      </w:r>
      <w:r/>
    </w:p>
    <w:p>
      <w:pPr>
        <w:pStyle w:val="868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3) инструментальное обследование (с применением видеозаписи);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испытание;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5) </w:t>
      </w:r>
      <w:r>
        <w:rPr>
          <w:rFonts w:ascii="PT Astra Serif" w:hAnsi="PT Astra Serif"/>
          <w:sz w:val="26"/>
          <w:szCs w:val="26"/>
        </w:rPr>
        <w:t xml:space="preserve">экспертиза. 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39. </w:t>
      </w:r>
      <w:r>
        <w:rPr>
          <w:rFonts w:ascii="PT Astra Serif" w:hAnsi="PT Astra Serif"/>
          <w:sz w:val="26"/>
          <w:szCs w:val="26"/>
        </w:rPr>
        <w:t xml:space="preserve">В случае если в рамках выездного обследования выявлены признаки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нарушения обязательных требований, указанных в абзацах втором, седьмо</w:t>
      </w:r>
      <w:r>
        <w:rPr>
          <w:rFonts w:ascii="PT Astra Serif" w:hAnsi="PT Astra Serif"/>
          <w:sz w:val="26"/>
          <w:szCs w:val="26"/>
          <w:highlight w:val="white"/>
        </w:rPr>
        <w:t xml:space="preserve">м </w:t>
      </w:r>
      <w:r>
        <w:rPr>
          <w:rFonts w:ascii="PT Astra Serif" w:hAnsi="PT Astra Serif"/>
          <w:sz w:val="26"/>
          <w:szCs w:val="26"/>
          <w:highlight w:val="white"/>
        </w:rPr>
        <w:t xml:space="preserve">(в части наличия действующей классификации средства размещения) подпункт</w:t>
      </w:r>
      <w:r>
        <w:rPr>
          <w:rFonts w:ascii="PT Astra Serif" w:hAnsi="PT Astra Serif"/>
          <w:sz w:val="26"/>
          <w:szCs w:val="26"/>
          <w:highlight w:val="white"/>
        </w:rPr>
        <w:t xml:space="preserve">а 1)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пункта 2 настоящего Положения</w:t>
      </w:r>
      <w:r>
        <w:rPr>
          <w:rFonts w:ascii="PT Astra Serif" w:hAnsi="PT Astra Serif"/>
          <w:sz w:val="26"/>
          <w:szCs w:val="26"/>
          <w:highlight w:val="white"/>
        </w:rPr>
        <w:t xml:space="preserve">, допускается незамедлительное проведение контрольной закупки в соответствии с частью 7 статьи 75 Федерального закона № 248-ФЗ.</w:t>
      </w:r>
      <w:r>
        <w:rPr>
          <w:highlight w:val="white"/>
        </w:rPr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40</w:t>
      </w:r>
      <w:r>
        <w:rPr>
          <w:rFonts w:ascii="PT Astra Serif" w:hAnsi="PT Astra Serif"/>
          <w:sz w:val="26"/>
          <w:szCs w:val="26"/>
          <w:highlight w:val="white"/>
        </w:rPr>
        <w:t xml:space="preserve">. </w:t>
      </w:r>
      <w:r>
        <w:rPr>
          <w:rFonts w:ascii="PT Astra Serif" w:hAnsi="PT Astra Serif"/>
          <w:sz w:val="26"/>
          <w:szCs w:val="26"/>
          <w:highlight w:val="white"/>
        </w:rPr>
        <w:t xml:space="preserve">Контрольная закупка может проводиться с использованием почт</w:t>
      </w:r>
      <w:r>
        <w:rPr>
          <w:rFonts w:ascii="PT Astra Serif" w:hAnsi="PT Astra Serif"/>
          <w:sz w:val="26"/>
          <w:szCs w:val="26"/>
        </w:rPr>
        <w:t xml:space="preserve">овой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связи, информационно-телекоммуникационных сетей, в том числе сети «Интернет», а также сетей связи для трансляции телеканалов и (или) радиоканалов (далее – дистанционная контрольная закупка).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выездного обследования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признаков нарушения обязательных требований, указанных в подпункта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за исключением обязательных требований, указанных в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пункте 3</w:t>
      </w:r>
      <w:r>
        <w:rPr>
          <w:rFonts w:ascii="PT Astra Serif" w:hAnsi="PT Astra Serif"/>
          <w:sz w:val="26"/>
          <w:szCs w:val="26"/>
          <w:highlight w:val="white"/>
        </w:rPr>
        <w:t xml:space="preserve">9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настоящего Положения,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принимает одно из следующих решений:</w:t>
      </w:r>
      <w:r/>
    </w:p>
    <w:p>
      <w:pPr>
        <w:ind w:right="-14"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выдает предостережение о необходимости соблюдения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требований;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Контрольные (надзорные) мероприятия, предусмотренные пунктом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 настоящего Положения, проводятся по основаниям, предусмотренным пунктами 1, 3, 4, 5, 7, 8, 9 части 1 статьи 57 Федерального закона № 248-ФЗ, в том числе в случаях, </w:t>
      </w:r>
      <w:r>
        <w:rPr>
          <w:rFonts w:ascii="PT Astra Serif" w:hAnsi="PT Astra Serif"/>
          <w:sz w:val="26"/>
          <w:szCs w:val="26"/>
          <w:highlight w:val="white"/>
        </w:rPr>
        <w:t xml:space="preserve">предусмотренных пунктами 3</w:t>
      </w:r>
      <w:r>
        <w:rPr>
          <w:rFonts w:ascii="PT Astra Serif" w:hAnsi="PT Astra Serif"/>
          <w:sz w:val="26"/>
          <w:szCs w:val="26"/>
          <w:highlight w:val="white"/>
        </w:rPr>
        <w:t xml:space="preserve">6, 3</w:t>
      </w:r>
      <w:r>
        <w:rPr>
          <w:rFonts w:ascii="PT Astra Serif" w:hAnsi="PT Astra Serif"/>
          <w:sz w:val="26"/>
          <w:szCs w:val="26"/>
          <w:highlight w:val="white"/>
        </w:rPr>
        <w:t xml:space="preserve">9</w:t>
      </w:r>
      <w:r>
        <w:rPr>
          <w:rFonts w:ascii="PT Astra Serif" w:hAnsi="PT Astra Serif"/>
          <w:sz w:val="26"/>
          <w:szCs w:val="26"/>
          <w:highlight w:val="white"/>
        </w:rPr>
        <w:t xml:space="preserve">, 4</w:t>
      </w:r>
      <w:r>
        <w:rPr>
          <w:rFonts w:ascii="PT Astra Serif" w:hAnsi="PT Astra Serif"/>
          <w:sz w:val="26"/>
          <w:szCs w:val="26"/>
          <w:highlight w:val="white"/>
        </w:rPr>
        <w:t xml:space="preserve">1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целях фиксац</w:t>
      </w:r>
      <w:r>
        <w:rPr>
          <w:rFonts w:ascii="PT Astra Serif" w:hAnsi="PT Astra Serif"/>
          <w:sz w:val="26"/>
          <w:szCs w:val="26"/>
        </w:rPr>
        <w:t xml:space="preserve">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</w:t>
      </w:r>
      <w:r>
        <w:rPr>
          <w:rFonts w:ascii="PT Astra Serif" w:hAnsi="PT Astra Serif"/>
          <w:sz w:val="26"/>
          <w:szCs w:val="26"/>
        </w:rPr>
        <w:t xml:space="preserve">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</w:t>
      </w:r>
      <w:r>
        <w:rPr>
          <w:rFonts w:ascii="PT Astra Serif" w:hAnsi="PT Astra Serif"/>
          <w:sz w:val="26"/>
          <w:szCs w:val="26"/>
        </w:rPr>
        <w:t xml:space="preserve">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</w:t>
      </w:r>
      <w:r>
        <w:rPr>
          <w:rFonts w:ascii="PT Astra Serif" w:hAnsi="PT Astra Serif"/>
          <w:sz w:val="26"/>
          <w:szCs w:val="26"/>
        </w:rPr>
        <w:t xml:space="preserve">ом</w:t>
      </w:r>
      <w:r>
        <w:rPr>
          <w:rFonts w:ascii="PT Astra Serif" w:hAnsi="PT Astra Serif"/>
          <w:sz w:val="26"/>
          <w:szCs w:val="26"/>
        </w:rPr>
        <w:t xml:space="preserve"> самостоятельно.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Информация о проведении фотосъемки, аудио- и видеозаписи и использованных для этих целей технических средствах, в том числе использование мобильного приложения «Инспектор», отражается в акте контрольного (надзорного) мероприятия.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</w:t>
      </w:r>
      <w:r>
        <w:rPr>
          <w:rFonts w:ascii="PT Astra Serif" w:hAnsi="PT Astra Serif"/>
          <w:sz w:val="26"/>
          <w:szCs w:val="26"/>
        </w:rPr>
        <w:t xml:space="preserve">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</w:t>
      </w:r>
      <w:r>
        <w:rPr>
          <w:rFonts w:ascii="PT Astra Serif" w:hAnsi="PT Astra Serif"/>
          <w:sz w:val="26"/>
          <w:szCs w:val="26"/>
        </w:rPr>
        <w:t xml:space="preserve">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контрольной закупки могут совершаться следующие контрольные (надзорные) действия: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эксперимент.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получение письменных объяснений (при выявлении нарушений обязательных требований);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опрос (при выявлении нарушений обязательных требований). 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абзацах втором, седьмом (в части наличия действующей классификации средства размещения) подпункта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, абзаце втором подпункта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, абзацах втором, четвертом подпункта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</w:t>
      </w:r>
      <w:r>
        <w:rPr>
          <w:rFonts w:ascii="PT Astra Serif" w:hAnsi="PT Astra Serif"/>
          <w:sz w:val="26"/>
          <w:szCs w:val="26"/>
        </w:rPr>
        <w:t xml:space="preserve">-</w:t>
      </w:r>
      <w:r>
        <w:rPr>
          <w:rFonts w:ascii="PT Astra Serif" w:hAnsi="PT Astra Serif"/>
          <w:sz w:val="26"/>
          <w:szCs w:val="26"/>
        </w:rPr>
        <w:t xml:space="preserve">телекоммуникационных сетей, в том числе сети «Интернет», а также сетей связи для трансляции телеканалов и (или) радиоканалов.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(за исключением дистанционной контрольной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закупки) должна проводиться в присутствии двух свидетелей или двух должностных лиц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, либо с применением видеозаписи. В случае необходимости в целях фиксации процесса конт</w:t>
      </w:r>
      <w:r>
        <w:rPr>
          <w:rFonts w:ascii="PT Astra Serif" w:hAnsi="PT Astra Serif"/>
          <w:sz w:val="26"/>
          <w:szCs w:val="26"/>
          <w:highlight w:val="white"/>
        </w:rPr>
        <w:t xml:space="preserve">рольной закупки при ее проведении применяются фотосъемка, аудио- и видеозапись </w:t>
      </w:r>
      <w:r>
        <w:rPr>
          <w:rFonts w:ascii="PT Astra Serif" w:hAnsi="PT Astra Serif"/>
          <w:sz w:val="26"/>
          <w:szCs w:val="26"/>
          <w:highlight w:val="white"/>
        </w:rPr>
        <w:t xml:space="preserve">с учетом пункта 4</w:t>
      </w:r>
      <w:r>
        <w:rPr>
          <w:rFonts w:ascii="PT Astra Serif" w:hAnsi="PT Astra Serif"/>
          <w:sz w:val="26"/>
          <w:szCs w:val="26"/>
          <w:highlight w:val="white"/>
        </w:rPr>
        <w:t xml:space="preserve">3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8</w:t>
      </w:r>
      <w:r>
        <w:rPr>
          <w:rFonts w:ascii="PT Astra Serif" w:hAnsi="PT Astra Serif"/>
          <w:sz w:val="26"/>
          <w:szCs w:val="26"/>
          <w:highlight w:val="white"/>
        </w:rPr>
        <w:t xml:space="preserve">. </w:t>
      </w:r>
      <w:r>
        <w:rPr>
          <w:rFonts w:ascii="PT Astra Serif" w:hAnsi="PT Astra Serif"/>
          <w:sz w:val="26"/>
          <w:szCs w:val="26"/>
          <w:highlight w:val="white"/>
        </w:rPr>
        <w:t xml:space="preserve">В ходе мониторинговой закупки могут совершаться следующие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контрольные (надзорные) действия:</w:t>
      </w:r>
      <w:r>
        <w:rPr>
          <w:highlight w:val="white"/>
        </w:rPr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опрос;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истребование документов;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экспертиза;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эксперимент.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Мониторинговая закупка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абзацах втором – пятом, седьмом (в части </w:t>
      </w:r>
      <w:r>
        <w:rPr>
          <w:rFonts w:ascii="PT Astra Serif" w:hAnsi="PT Astra Serif"/>
          <w:sz w:val="26"/>
          <w:szCs w:val="26"/>
        </w:rPr>
        <w:t xml:space="preserve">наличия действующей классификации средства размещения) подпункта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, подпунктах</w:t>
      </w:r>
      <w:r>
        <w:rPr>
          <w:rFonts w:ascii="PT Astra Serif" w:hAnsi="PT Astra Serif"/>
          <w:sz w:val="26"/>
          <w:szCs w:val="26"/>
        </w:rPr>
        <w:t xml:space="preserve"> 2)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  <w:t xml:space="preserve"> 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50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Мониторинговая закупка проводится по месту осуществления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деятельности контролируемого лица, либо по месту нахождения объекта контроля, либо с использованием почтовой связи, информационно</w:t>
      </w:r>
      <w:r>
        <w:rPr>
          <w:rFonts w:ascii="PT Astra Serif" w:hAnsi="PT Astra Serif"/>
          <w:sz w:val="26"/>
          <w:szCs w:val="26"/>
        </w:rPr>
        <w:t xml:space="preserve">-</w:t>
      </w:r>
      <w:r>
        <w:rPr>
          <w:rFonts w:ascii="PT Astra Serif" w:hAnsi="PT Astra Serif"/>
          <w:sz w:val="26"/>
          <w:szCs w:val="26"/>
        </w:rPr>
        <w:t xml:space="preserve">телекоммуникационных сетей, в том числе </w:t>
      </w:r>
      <w:r>
        <w:rPr>
          <w:rFonts w:ascii="PT Astra Serif" w:hAnsi="PT Astra Serif"/>
          <w:sz w:val="26"/>
          <w:szCs w:val="26"/>
        </w:rPr>
        <w:t xml:space="preserve">сети «Интернет», а также сетей связи для трансляции телеканалов и (или) радиоканалов.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инспекционного визита могут совершаться следующие контрольные (надзорные) действия: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опрос;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3) получение письменных объяснений;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4) инструментальное обследование;</w:t>
      </w:r>
      <w:r/>
    </w:p>
    <w:p>
      <w:pPr>
        <w:pStyle w:val="868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5) ист</w:t>
      </w:r>
      <w:r>
        <w:rPr>
          <w:sz w:val="26"/>
          <w:szCs w:val="26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Инспекционный визит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пункте 2 настоящего Положения.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Инспекционный визит может быть проведен с использованием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Срок проведения инспекционного визита в одном месте осуществления </w:t>
      </w:r>
      <w:r>
        <w:rPr>
          <w:rFonts w:ascii="PT Astra Serif" w:hAnsi="PT Astra Serif"/>
          <w:sz w:val="26"/>
          <w:szCs w:val="26"/>
        </w:rPr>
        <w:t xml:space="preserve">деятельности либо на одном объекте (территории) не может превышать один рабочий день.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55. </w:t>
      </w:r>
      <w:r>
        <w:rPr>
          <w:rFonts w:ascii="PT Astra Serif" w:hAnsi="PT Astra Serif"/>
          <w:sz w:val="26"/>
          <w:szCs w:val="26"/>
        </w:rPr>
        <w:t xml:space="preserve">Если имеющихся в распоряжении у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сведений и документов недостаточно, то в ходе документарной проверки могут совершаться следующие контрольные (надзорные) действия: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получение письменных объяснений;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истребование документов.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56.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Инспектор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57. Срок проведения документарной проверки не может превышать десять рабочих дней. </w:t>
      </w:r>
      <w:r/>
    </w:p>
    <w:p>
      <w:pPr>
        <w:pStyle w:val="868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58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выездной проверки могут совершаться следующие контрольные (надзорные) действия: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досмотр;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опрос;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получение письменных объяснений;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истребование документов;</w:t>
      </w:r>
      <w:r/>
    </w:p>
    <w:p>
      <w:pPr>
        <w:pStyle w:val="868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z w:val="26"/>
          <w:szCs w:val="26"/>
        </w:rPr>
        <w:t xml:space="preserve">инструментальное обследование.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Выездная проверка проводится в случае невозможности оценки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соблюдения обязательных требований, предусмотренных пунктом 2 настоящего Положения, в рамках контрольных (надзорных) мероп</w:t>
      </w:r>
      <w:r>
        <w:rPr>
          <w:rFonts w:ascii="PT Astra Serif" w:hAnsi="PT Astra Serif"/>
          <w:sz w:val="26"/>
          <w:szCs w:val="26"/>
          <w:highlight w:val="white"/>
        </w:rPr>
        <w:t xml:space="preserve">риятий, </w:t>
      </w:r>
      <w:r>
        <w:rPr>
          <w:rFonts w:ascii="PT Astra Serif" w:hAnsi="PT Astra Serif"/>
          <w:sz w:val="26"/>
          <w:szCs w:val="26"/>
          <w:highlight w:val="white"/>
        </w:rPr>
        <w:t xml:space="preserve">указанных в пунктах 45 – 5</w:t>
      </w: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60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Выездная проверка может быть проведена с использованием средств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Срок проведения выездной проверки не может превышать десять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</w:t>
      </w:r>
      <w:r>
        <w:rPr>
          <w:rFonts w:ascii="PT Astra Serif" w:hAnsi="PT Astra Serif"/>
          <w:sz w:val="26"/>
          <w:szCs w:val="26"/>
        </w:rPr>
        <w:t xml:space="preserve">пятнадцать часов для микропредприятия.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pStyle w:val="862"/>
        <w:numPr>
          <w:ilvl w:val="0"/>
          <w:numId w:val="0"/>
        </w:numPr>
        <w:spacing w:line="240" w:lineRule="auto"/>
        <w:rPr>
          <w:rFonts w:ascii="PT Astra Serif" w:hAnsi="PT Astra Serif"/>
          <w:b w:val="0"/>
          <w:bCs/>
          <w:sz w:val="26"/>
          <w:szCs w:val="26"/>
        </w:rPr>
      </w:pPr>
      <w:r>
        <w:rPr>
          <w:rFonts w:ascii="PT Astra Serif" w:hAnsi="PT Astra Serif"/>
          <w:b w:val="0"/>
          <w:bCs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b w:val="0"/>
          <w:bCs/>
          <w:sz w:val="26"/>
          <w:szCs w:val="26"/>
        </w:rPr>
        <w:t xml:space="preserve">Специальный режим государственного контроля (надзора)(постоянный рейд)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62. </w:t>
      </w:r>
      <w:r>
        <w:rPr>
          <w:rFonts w:ascii="PT Astra Serif" w:hAnsi="PT Astra Serif"/>
          <w:sz w:val="26"/>
          <w:szCs w:val="26"/>
        </w:rPr>
        <w:t xml:space="preserve">В целях предупреждения, выявления и пресечения нарушений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подпунктах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и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региональный государственный контроль (надзор) может осуществляться в рамках постоянного рейда.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63. </w:t>
      </w:r>
      <w:r>
        <w:rPr>
          <w:rFonts w:ascii="PT Astra Serif" w:hAnsi="PT Astra Serif"/>
          <w:sz w:val="26"/>
          <w:szCs w:val="26"/>
        </w:rPr>
        <w:t xml:space="preserve">Постоянный рейд осуществляется на территории, определяемой</w:t>
      </w:r>
      <w:r>
        <w:rPr>
          <w:rFonts w:ascii="PT Astra Serif" w:hAnsi="PT Astra Serif"/>
          <w:sz w:val="26"/>
          <w:szCs w:val="26"/>
        </w:rPr>
        <w:t xml:space="preserve"> решением Департамента</w:t>
      </w:r>
      <w:r>
        <w:rPr>
          <w:rFonts w:ascii="PT Astra Serif" w:hAnsi="PT Astra Serif"/>
          <w:sz w:val="26"/>
          <w:szCs w:val="26"/>
        </w:rPr>
        <w:t xml:space="preserve">, исходя из расположения объектов показа, а также наличия туристских маршрутов, в том числе туристских маршрутов, требующих специального сопровождения, на территории Томской области.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64. </w:t>
      </w:r>
      <w:r>
        <w:rPr>
          <w:rFonts w:ascii="PT Astra Serif" w:hAnsi="PT Astra Serif"/>
          <w:sz w:val="26"/>
          <w:szCs w:val="26"/>
        </w:rPr>
        <w:t xml:space="preserve">При осуществлении постоянного рейда могут совершаться следующие контрольные (надзорные) действия: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осмотр;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опрос;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инструментальное обследование.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65. </w:t>
      </w:r>
      <w:r>
        <w:rPr>
          <w:rFonts w:ascii="PT Astra Serif" w:hAnsi="PT Astra Serif"/>
          <w:sz w:val="26"/>
          <w:szCs w:val="26"/>
        </w:rPr>
        <w:t xml:space="preserve">При осуществлении постоянного рейда время взаимодействия</w:t>
      </w:r>
      <w:r>
        <w:rPr>
          <w:rFonts w:ascii="PT Astra Serif" w:hAnsi="PT Astra Serif"/>
          <w:sz w:val="26"/>
          <w:szCs w:val="26"/>
        </w:rPr>
        <w:t xml:space="preserve"> инспектором</w:t>
      </w:r>
      <w:r>
        <w:rPr>
          <w:rFonts w:ascii="PT Astra Serif" w:hAnsi="PT Astra Serif"/>
          <w:sz w:val="26"/>
          <w:szCs w:val="26"/>
        </w:rPr>
        <w:t xml:space="preserve"> с одним контролируемым лицом не может превышать 30 минут (в данный период не включается время оформления акта).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66. </w:t>
      </w:r>
      <w:r>
        <w:rPr>
          <w:rFonts w:ascii="PT Astra Serif" w:hAnsi="PT Astra Serif"/>
          <w:sz w:val="26"/>
          <w:szCs w:val="26"/>
        </w:rPr>
        <w:t xml:space="preserve">Предписание об устранении выявленных нарушений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постоянного рейда.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67. </w:t>
      </w:r>
      <w:r>
        <w:rPr>
          <w:rFonts w:ascii="PT Astra Serif" w:hAnsi="PT Astra Serif"/>
          <w:sz w:val="26"/>
          <w:szCs w:val="26"/>
        </w:rPr>
        <w:t xml:space="preserve">Составленные в ходе постоянного рейда акты, а также выданные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предписания об устранении выявленных нарушений обязательных требований подлежат включению в единый реестр контрольных (надзорных) мероприятий в соответствии со статьей 19 Федерального закона № 248-ФЗ.</w:t>
      </w:r>
      <w:r/>
    </w:p>
    <w:p>
      <w:pPr>
        <w:ind w:left="736"/>
        <w:jc w:val="both"/>
        <w:spacing w:after="0"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pStyle w:val="862"/>
        <w:numPr>
          <w:ilvl w:val="0"/>
          <w:numId w:val="0"/>
        </w:numPr>
        <w:ind w:right="285"/>
        <w:spacing w:line="240" w:lineRule="auto"/>
        <w:rPr>
          <w:rFonts w:ascii="PT Astra Serif" w:hAnsi="PT Astra Serif"/>
          <w:b w:val="0"/>
          <w:bCs/>
          <w:color w:val="0000ff"/>
          <w:sz w:val="26"/>
          <w:szCs w:val="26"/>
        </w:rPr>
      </w:pP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6. 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Результаты контрольного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 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(надзорного) мероприятия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68. </w:t>
      </w:r>
      <w:r>
        <w:rPr>
          <w:rFonts w:ascii="PT Astra Serif" w:hAnsi="PT Astra Serif"/>
          <w:sz w:val="26"/>
          <w:szCs w:val="26"/>
        </w:rPr>
        <w:t xml:space="preserve">По результатам контрольных (надзорных) мероприятий, предусмотренных </w:t>
      </w:r>
      <w:r>
        <w:rPr>
          <w:rFonts w:ascii="PT Astra Serif" w:hAnsi="PT Astra Serif"/>
          <w:sz w:val="26"/>
          <w:szCs w:val="26"/>
          <w:highlight w:val="lightGray"/>
        </w:rPr>
        <w:t xml:space="preserve">пунктом 3</w:t>
      </w:r>
      <w:r>
        <w:rPr>
          <w:rFonts w:ascii="PT Astra Serif" w:hAnsi="PT Astra Serif"/>
          <w:sz w:val="26"/>
          <w:szCs w:val="26"/>
          <w:highlight w:val="lightGray"/>
        </w:rPr>
        <w:t xml:space="preserve">2</w:t>
      </w:r>
      <w:r>
        <w:rPr>
          <w:rFonts w:ascii="PT Astra Serif" w:hAnsi="PT Astra Serif"/>
          <w:sz w:val="26"/>
          <w:szCs w:val="26"/>
          <w:highlight w:val="lightGray"/>
        </w:rPr>
        <w:t xml:space="preserve"> настоящего Положения</w:t>
      </w:r>
      <w:r>
        <w:rPr>
          <w:rFonts w:ascii="PT Astra Serif" w:hAnsi="PT Astra Serif"/>
          <w:sz w:val="26"/>
          <w:szCs w:val="26"/>
        </w:rPr>
        <w:t xml:space="preserve">, составляется акт контрольного (надзорного) мероприятия.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69. </w:t>
      </w:r>
      <w:r>
        <w:rPr>
          <w:rFonts w:ascii="PT Astra Serif" w:hAnsi="PT Astra Serif"/>
          <w:sz w:val="26"/>
          <w:szCs w:val="26"/>
        </w:rPr>
        <w:t xml:space="preserve">По резу</w:t>
      </w:r>
      <w:r>
        <w:rPr>
          <w:rFonts w:ascii="PT Astra Serif" w:hAnsi="PT Astra Serif"/>
          <w:sz w:val="26"/>
          <w:szCs w:val="26"/>
          <w:highlight w:val="none"/>
        </w:rPr>
        <w:t xml:space="preserve">льтатам контрольных (надзорных) мероприятий, указанных</w:t>
      </w:r>
      <w:r>
        <w:rPr>
          <w:rFonts w:ascii="PT Astra Serif" w:hAnsi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sz w:val="26"/>
          <w:szCs w:val="26"/>
          <w:highlight w:val="none"/>
        </w:rPr>
        <w:t xml:space="preserve">в подпунктах </w:t>
      </w:r>
      <w:r>
        <w:rPr>
          <w:rFonts w:ascii="PT Astra Serif" w:hAnsi="PT Astra Serif"/>
          <w:sz w:val="26"/>
          <w:szCs w:val="26"/>
          <w:highlight w:val="none"/>
        </w:rPr>
        <w:t xml:space="preserve">1)</w:t>
      </w:r>
      <w:r>
        <w:rPr>
          <w:rFonts w:ascii="PT Astra Serif" w:hAnsi="PT Astra Serif"/>
          <w:sz w:val="26"/>
          <w:szCs w:val="26"/>
          <w:highlight w:val="none"/>
        </w:rPr>
        <w:t xml:space="preserve"> и </w:t>
      </w:r>
      <w:r>
        <w:rPr>
          <w:rFonts w:ascii="PT Astra Serif" w:hAnsi="PT Astra Serif"/>
          <w:sz w:val="26"/>
          <w:szCs w:val="26"/>
          <w:highlight w:val="none"/>
        </w:rPr>
        <w:t xml:space="preserve">2)</w:t>
      </w:r>
      <w:r>
        <w:rPr>
          <w:rFonts w:ascii="PT Astra Serif" w:hAnsi="PT Astra Serif"/>
          <w:sz w:val="26"/>
          <w:szCs w:val="26"/>
          <w:highlight w:val="none"/>
        </w:rPr>
        <w:t xml:space="preserve"> пун</w:t>
      </w:r>
      <w:r>
        <w:rPr>
          <w:rFonts w:ascii="PT Astra Serif" w:hAnsi="PT Astra Serif"/>
          <w:sz w:val="26"/>
          <w:szCs w:val="26"/>
          <w:highlight w:val="none"/>
        </w:rPr>
        <w:t xml:space="preserve">кта 3</w:t>
      </w:r>
      <w:r>
        <w:rPr>
          <w:rFonts w:ascii="PT Astra Serif" w:hAnsi="PT Astra Serif"/>
          <w:sz w:val="26"/>
          <w:szCs w:val="26"/>
          <w:highlight w:val="none"/>
        </w:rPr>
        <w:t xml:space="preserve">2</w:t>
      </w:r>
      <w:r>
        <w:rPr>
          <w:rFonts w:ascii="PT Astra Serif" w:hAnsi="PT Astra Serif"/>
          <w:sz w:val="26"/>
          <w:szCs w:val="26"/>
          <w:highlight w:val="none"/>
        </w:rPr>
        <w:t xml:space="preserve"> настоящего </w:t>
      </w:r>
      <w:r>
        <w:rPr>
          <w:rFonts w:ascii="PT Astra Serif" w:hAnsi="PT Astra Serif"/>
          <w:sz w:val="26"/>
          <w:szCs w:val="26"/>
          <w:highlight w:val="none"/>
        </w:rPr>
        <w:t xml:space="preserve">Положения, акт контрольного (надзорного) мероприятия составляется в течение 5 рабочих дней.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none"/>
        </w:rPr>
        <w:t xml:space="preserve">70. </w:t>
      </w:r>
      <w:r>
        <w:rPr>
          <w:rFonts w:ascii="PT Astra Serif" w:hAnsi="PT Astra Serif"/>
          <w:sz w:val="26"/>
          <w:szCs w:val="26"/>
          <w:highlight w:val="none"/>
        </w:rPr>
        <w:t xml:space="preserve">Акт конт</w:t>
      </w:r>
      <w:r>
        <w:rPr>
          <w:rFonts w:ascii="PT Astra Serif" w:hAnsi="PT Astra Serif"/>
          <w:sz w:val="26"/>
          <w:szCs w:val="26"/>
        </w:rPr>
        <w:t xml:space="preserve">рольного (надзорного) мероприятия подлежит направлению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контролируемому лицу в порядке, предусмотренном частью 5 статьи 21 Федерального </w:t>
      </w:r>
      <w:r>
        <w:rPr>
          <w:rFonts w:ascii="PT Astra Serif" w:hAnsi="PT Astra Serif"/>
          <w:sz w:val="26"/>
          <w:szCs w:val="26"/>
        </w:rPr>
        <w:t xml:space="preserve">закона № 248-ФЗ. Решения о проведении профилактичес</w:t>
      </w:r>
      <w:r>
        <w:rPr>
          <w:rFonts w:ascii="PT Astra Serif" w:hAnsi="PT Astra Serif"/>
          <w:sz w:val="26"/>
          <w:szCs w:val="26"/>
        </w:rPr>
        <w:t xml:space="preserve">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</w:t>
      </w:r>
      <w:r>
        <w:rPr>
          <w:rFonts w:ascii="PT Astra Serif" w:hAnsi="PT Astra Serif"/>
          <w:sz w:val="26"/>
          <w:szCs w:val="26"/>
        </w:rPr>
        <w:t xml:space="preserve">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предусмотренном частью 1.1 статьи 21 Федерального закона № 248-ФЗ.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71. </w:t>
      </w:r>
      <w:r>
        <w:rPr>
          <w:rFonts w:ascii="PT Astra Serif" w:hAnsi="PT Astra Serif"/>
          <w:sz w:val="26"/>
          <w:szCs w:val="26"/>
        </w:rPr>
        <w:t xml:space="preserve">Результаты контрольного (надзорного) мероприятия оформляются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порядке, предусмотренном статьей 87 Федерального закона № 248-ФЗ.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72. </w:t>
      </w:r>
      <w:r>
        <w:rPr>
          <w:sz w:val="26"/>
          <w:szCs w:val="26"/>
        </w:rPr>
        <w:t xml:space="preserve">По результатам контрольных (надзорных) мероприятий </w:t>
      </w:r>
      <w:r>
        <w:rPr>
          <w:sz w:val="26"/>
          <w:szCs w:val="26"/>
        </w:rPr>
        <w:t xml:space="preserve">инспектор, проводивший контрольное (надзорное) мероприятие, совершает действия, предусмотренные частью 2 статьи 90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</w:t>
      </w:r>
      <w:r>
        <w:rPr>
          <w:color w:val="0000ff"/>
          <w:sz w:val="26"/>
          <w:szCs w:val="26"/>
        </w:rPr>
        <w:t xml:space="preserve">. </w:t>
      </w:r>
      <w:r>
        <w:rPr>
          <w:sz w:val="26"/>
          <w:szCs w:val="26"/>
        </w:rPr>
        <w:t xml:space="preserve">По результатам проведения контрольных (надзорных) мероприятий без взаимодействия </w:t>
      </w:r>
      <w:r>
        <w:rPr>
          <w:sz w:val="26"/>
          <w:szCs w:val="26"/>
        </w:rPr>
        <w:t xml:space="preserve">Департамент </w:t>
      </w:r>
      <w:r>
        <w:rPr>
          <w:sz w:val="26"/>
          <w:szCs w:val="26"/>
        </w:rPr>
        <w:t xml:space="preserve">состав</w:t>
      </w:r>
      <w:r>
        <w:rPr>
          <w:sz w:val="26"/>
          <w:szCs w:val="26"/>
        </w:rPr>
        <w:t xml:space="preserve">ляет акт контрольного (надзорного) мероприятия в случае выявления нарушений обязательных требований и выдает предписание посредством внесения в единый реестр контрольных (надзорных) мероприятий и подписания усиленной квалифицированной электронной подписью.</w:t>
      </w:r>
      <w:r/>
    </w:p>
    <w:p>
      <w:pPr>
        <w:ind w:firstLine="736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Предписание об устранении выявленных нарушений выдается контролируемому лицу в соответствии со статьей 90.1 Федерального закона № 248-ФЗ.</w:t>
      </w:r>
      <w:r/>
    </w:p>
    <w:p>
      <w:pPr>
        <w:ind w:firstLine="736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Наряду с решениями, принимаемыми по результатам контрольных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(надзорных) мероприятий в соответстви</w:t>
      </w:r>
      <w:r>
        <w:rPr>
          <w:rFonts w:ascii="PT Astra Serif" w:hAnsi="PT Astra Serif"/>
          <w:sz w:val="26"/>
          <w:szCs w:val="26"/>
          <w:highlight w:val="white"/>
        </w:rPr>
        <w:t xml:space="preserve">и </w:t>
      </w:r>
      <w:r>
        <w:rPr>
          <w:rFonts w:ascii="PT Astra Serif" w:hAnsi="PT Astra Serif"/>
          <w:sz w:val="26"/>
          <w:szCs w:val="26"/>
          <w:highlight w:val="white"/>
        </w:rPr>
        <w:t xml:space="preserve">с пунктом </w:t>
      </w:r>
      <w:r>
        <w:rPr>
          <w:rFonts w:ascii="PT Astra Serif" w:hAnsi="PT Astra Serif"/>
          <w:sz w:val="26"/>
          <w:szCs w:val="26"/>
          <w:highlight w:val="white"/>
        </w:rPr>
        <w:t xml:space="preserve">72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Положения,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вправе: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1</w:t>
      </w:r>
      <w:r>
        <w:rPr>
          <w:rFonts w:ascii="PT Astra Serif" w:hAnsi="PT Astra Serif"/>
          <w:sz w:val="26"/>
          <w:szCs w:val="26"/>
          <w:highlight w:val="white"/>
        </w:rPr>
        <w:t xml:space="preserve">) выдавать предписание владельц</w:t>
      </w:r>
      <w:r>
        <w:rPr>
          <w:rFonts w:ascii="PT Astra Serif" w:hAnsi="PT Astra Serif"/>
          <w:sz w:val="26"/>
          <w:szCs w:val="26"/>
        </w:rPr>
        <w:t xml:space="preserve">у агрегатора информации об услугах, владельцу сервиса объявлений о незамедлительном прекращении распространения информации о предоставляемых услугах средства размещения (гостиничных услугах);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в случае выявления несоответствия сред</w:t>
      </w:r>
      <w:r>
        <w:rPr>
          <w:rFonts w:ascii="PT Astra Serif" w:hAnsi="PT Astra Serif"/>
          <w:sz w:val="26"/>
          <w:szCs w:val="26"/>
        </w:rPr>
        <w:t xml:space="preserve">ства размещения требованиям к категории средств размещения, указанной в реестре классифицированных средств размещения, направлять в организацию, осуществляющую классификацию в сфере туристской индустрии, соответствующую информацию с запросом о предоставлен</w:t>
      </w:r>
      <w:r>
        <w:rPr>
          <w:rFonts w:ascii="PT Astra Serif" w:hAnsi="PT Astra Serif"/>
          <w:sz w:val="26"/>
          <w:szCs w:val="26"/>
        </w:rPr>
        <w:t xml:space="preserve">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подтверждения соответствия средства размещения требованиям к присвоенной категории средства размещения;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размещения (об исключении сведений о средстве размещения из реестра классифицированных средств размещения);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принимать решения о прекращении аттестации экскурсовода (гида) и гида-переводчика и об исключении сведений о них из единого федерального реестра экскурсоводов (гидов) и гидов-переводчиков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0000ff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0000ff"/>
          <w:sz w:val="26"/>
          <w:szCs w:val="26"/>
          <w:lang w:eastAsia="ru-RU"/>
        </w:rPr>
      </w:r>
      <w:r/>
    </w:p>
    <w:p>
      <w:pPr>
        <w:pStyle w:val="869"/>
        <w:jc w:val="center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7. Досудебный порядок обжалования решений Департамента,</w:t>
      </w:r>
      <w:r/>
    </w:p>
    <w:p>
      <w:pPr>
        <w:pStyle w:val="8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действий (бездействия) должностных лиц Департамента</w:t>
      </w:r>
      <w:r/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Обжалование контролируемым лицом принятого в отношении него решения Департамента или совершенных в отношении него действий (бездействия) должностных лиц Департамента осуществляется в порядке, предусмотренном </w:t>
      </w:r>
      <w:r>
        <w:rPr>
          <w:sz w:val="26"/>
          <w:szCs w:val="26"/>
        </w:rPr>
        <w:t xml:space="preserve">статьями 39 - 43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Жалоба на решение Де</w:t>
      </w:r>
      <w:r>
        <w:rPr>
          <w:sz w:val="26"/>
          <w:szCs w:val="26"/>
        </w:rPr>
        <w:t xml:space="preserve">партамента, действия (бездействие) его должностных лиц в досудебном порядке рассматривается начальником Департамента, в отсутствие начальника Департамента - заместителем начальника Департамента - председателем комитета организационно-правового обеспечения.</w:t>
      </w:r>
      <w:r/>
    </w:p>
    <w:p>
      <w:pPr>
        <w:pStyle w:val="86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Жалоба на действия (бездействие) начальника Департамента рассматривается начальником Департамента.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8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Жалоба подлежит рассмотрению в течение пятнадцати рабочих дней со дня ее регистрации в подсистеме досудебного обжалования.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Решение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>
        <w:rPr>
          <w:rFonts w:ascii="PT Astra Serif" w:hAnsi="PT Astra Serif"/>
          <w:sz w:val="26"/>
          <w:szCs w:val="26"/>
        </w:rPr>
        <w:t xml:space="preserve">по итогам рассмотрения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принятия.</w:t>
      </w:r>
      <w:r/>
    </w:p>
    <w:p>
      <w:pPr>
        <w:ind w:left="844" w:firstLine="709"/>
        <w:jc w:val="both"/>
        <w:spacing w:after="0"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pStyle w:val="868"/>
        <w:jc w:val="right"/>
        <w:outlineLvl w:val="1"/>
      </w:pPr>
      <w:r>
        <w:t xml:space="preserve">Приложение № 1</w:t>
      </w:r>
      <w:r/>
    </w:p>
    <w:p>
      <w:pPr>
        <w:pStyle w:val="868"/>
        <w:jc w:val="right"/>
      </w:pPr>
      <w:r>
        <w:t xml:space="preserve">к Положению</w:t>
      </w:r>
      <w:r/>
    </w:p>
    <w:p>
      <w:pPr>
        <w:pStyle w:val="868"/>
        <w:jc w:val="right"/>
      </w:pPr>
      <w:r>
        <w:t xml:space="preserve">о региональном государственном контроле (надзоре) в сфере</w:t>
      </w:r>
      <w:r/>
    </w:p>
    <w:p>
      <w:pPr>
        <w:pStyle w:val="868"/>
        <w:jc w:val="right"/>
      </w:pPr>
      <w:r>
        <w:t xml:space="preserve">туристской деятельности на территории Томской области</w:t>
      </w:r>
      <w:r/>
    </w:p>
    <w:p>
      <w:pPr>
        <w:pStyle w:val="868"/>
        <w:jc w:val="both"/>
      </w:pPr>
      <w:r/>
      <w:r/>
    </w:p>
    <w:p>
      <w:pPr>
        <w:pStyle w:val="869"/>
        <w:jc w:val="center"/>
      </w:pPr>
      <w:r/>
      <w:bookmarkStart w:id="4" w:name="P383"/>
      <w:r/>
      <w:bookmarkEnd w:id="4"/>
      <w:r>
        <w:t xml:space="preserve">КРИТЕРИИ</w:t>
      </w:r>
      <w:r/>
    </w:p>
    <w:p>
      <w:pPr>
        <w:pStyle w:val="869"/>
        <w:jc w:val="center"/>
      </w:pPr>
      <w:r>
        <w:t xml:space="preserve">ОТНЕСЕНИЯ ОБЪЕКТОВ РЕГИОНАЛЬНОГО ГОСУДАРСТВЕННОГО КОНТРОЛЯ</w:t>
      </w:r>
      <w:r/>
    </w:p>
    <w:p>
      <w:pPr>
        <w:pStyle w:val="869"/>
        <w:jc w:val="center"/>
      </w:pPr>
      <w:r>
        <w:t xml:space="preserve">(НАДЗОРА) В СФЕРЕ ТУРИСТСКОЙ ДЕЯТЕЛЬНОСТИ НА ТЕРРИТОРИИ</w:t>
      </w:r>
      <w:r/>
    </w:p>
    <w:p>
      <w:pPr>
        <w:pStyle w:val="869"/>
        <w:jc w:val="center"/>
      </w:pPr>
      <w:r>
        <w:t xml:space="preserve">ТОМСКОЙ ОБЛАСТИ К КАТЕГОРИЯМ РИСКА ПРИЧИНЕНИЯ ВРЕДА (УЩЕРБА)</w:t>
      </w:r>
      <w:r/>
    </w:p>
    <w:p>
      <w:pPr>
        <w:pStyle w:val="869"/>
        <w:jc w:val="center"/>
      </w:pPr>
      <w:r>
        <w:t xml:space="preserve">ОХРАНЯЕМЫМ ЗАКОНОМ ЦЕННОСТЯМ</w:t>
      </w:r>
      <w:r/>
    </w:p>
    <w:p>
      <w:pPr>
        <w:pStyle w:val="868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1609"/>
        <w:gridCol w:w="6973"/>
      </w:tblGrid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N п/п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Категории риска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Критерии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/>
            <w:bookmarkStart w:id="5" w:name="P392"/>
            <w:r/>
            <w:bookmarkEnd w:id="5"/>
            <w:r>
              <w:t xml:space="preserve">1.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Значительный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Объявление контролируемому лицу два и более раза в течение года, предшествующего дате отнесения объекта контроля к категории риска, предостережения о недопустимости нарушения обязательных требований в сфере туристской деятельности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/>
            <w:bookmarkStart w:id="6" w:name="P395"/>
            <w:r/>
            <w:bookmarkEnd w:id="6"/>
            <w:r>
              <w:t xml:space="preserve">2.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Средний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Объявление контролируемому лицу в течение года, предшествующего дате отнесения объекта контроля к категории риска, предостережения о недопустимости нарушения обязательных требований в сфере туристской деятельности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3.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Низкий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Объекты контроля, не соответствующие критериям, указанным в </w:t>
            </w:r>
            <w:r>
              <w:rPr>
                <w:color w:val="0000ff"/>
              </w:rPr>
              <w:t xml:space="preserve">пунктах 1</w:t>
            </w:r>
            <w:r>
              <w:t xml:space="preserve"> и </w:t>
            </w:r>
            <w:hyperlink w:tooltip="2." w:anchor="P395" w:history="1">
              <w:r>
                <w:rPr>
                  <w:color w:val="0000ff"/>
                </w:rPr>
                <w:t xml:space="preserve">2</w:t>
              </w:r>
            </w:hyperlink>
            <w:r>
              <w:t xml:space="preserve"> настоящей таблицы</w:t>
            </w:r>
            <w:r/>
          </w:p>
        </w:tc>
      </w:tr>
    </w:tbl>
    <w:p>
      <w:pPr>
        <w:pStyle w:val="868"/>
        <w:jc w:val="both"/>
      </w:pPr>
      <w:r/>
      <w:r/>
    </w:p>
    <w:p>
      <w:pPr>
        <w:pStyle w:val="868"/>
        <w:jc w:val="right"/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8"/>
        <w:jc w:val="right"/>
        <w:rPr>
          <w:highlight w:val="none"/>
        </w:rPr>
        <w:outlineLvl w:val="1"/>
      </w:pPr>
      <w:r>
        <w:t xml:space="preserve">Приложение № 2</w:t>
      </w:r>
      <w:r/>
    </w:p>
    <w:p>
      <w:pPr>
        <w:pStyle w:val="868"/>
        <w:jc w:val="right"/>
      </w:pPr>
      <w:r>
        <w:t xml:space="preserve">к Положению</w:t>
      </w:r>
      <w:r/>
    </w:p>
    <w:p>
      <w:pPr>
        <w:pStyle w:val="868"/>
        <w:jc w:val="right"/>
      </w:pPr>
      <w:r>
        <w:t xml:space="preserve">о региональном государственном контроле (надзоре) в сфере</w:t>
      </w:r>
      <w:r/>
    </w:p>
    <w:p>
      <w:pPr>
        <w:pStyle w:val="868"/>
        <w:jc w:val="right"/>
      </w:pPr>
      <w:r>
        <w:t xml:space="preserve">туристской деятельности на территории Томской области</w:t>
      </w:r>
      <w:r/>
    </w:p>
    <w:p>
      <w:pPr>
        <w:pStyle w:val="868"/>
        <w:jc w:val="both"/>
      </w:pPr>
      <w:r/>
      <w:r/>
    </w:p>
    <w:p>
      <w:pPr>
        <w:pStyle w:val="869"/>
        <w:jc w:val="center"/>
      </w:pPr>
      <w:r/>
      <w:bookmarkStart w:id="7" w:name="P411"/>
      <w:r/>
      <w:bookmarkEnd w:id="7"/>
      <w:r>
        <w:t xml:space="preserve">ПЕРЕЧЕНЬ</w:t>
      </w:r>
      <w:r/>
    </w:p>
    <w:p>
      <w:pPr>
        <w:pStyle w:val="869"/>
        <w:jc w:val="center"/>
      </w:pPr>
      <w:r>
        <w:t xml:space="preserve">ВИДОВ ПРЕДПРИНИМАТЕЛЬСКОЙ ДЕЯТЕЛЬНОСТИ, О НАЧАЛЕ</w:t>
      </w:r>
      <w:r/>
    </w:p>
    <w:p>
      <w:pPr>
        <w:pStyle w:val="869"/>
        <w:jc w:val="center"/>
      </w:pPr>
      <w:r>
        <w:t xml:space="preserve">ОСУЩЕСТВЛЕНИЯ КОТОРЫХ ЮРИДИЧЕСКИМИ ЛИЦАМИ И ИНДИВИДУАЛЬНЫМИ</w:t>
      </w:r>
      <w:r>
        <w:t xml:space="preserve"> </w:t>
      </w:r>
      <w:r>
        <w:t xml:space="preserve">ПРЕДПРИНИМАТЕЛЯМИ ПРЕДСТАВЛЯЕТСЯ УВЕДОМЛЕНИЕ В ДЕПАРТАМЕНТ</w:t>
      </w:r>
      <w:r>
        <w:t xml:space="preserve"> </w:t>
      </w:r>
      <w:r>
        <w:t xml:space="preserve">ЛИЦЕНЗИРОВАНИЯ И РЕГИОНАЛЬНОГО ГОСУДАРСТВЕННОГО КОНТРОЛЯ</w:t>
      </w:r>
      <w:r/>
    </w:p>
    <w:p>
      <w:pPr>
        <w:pStyle w:val="869"/>
        <w:jc w:val="center"/>
      </w:pPr>
      <w:r>
        <w:t xml:space="preserve">ТОМСКОЙ ОБЛАСТИ</w:t>
      </w:r>
      <w:r/>
    </w:p>
    <w:p>
      <w:pPr>
        <w:pStyle w:val="868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4"/>
        <w:gridCol w:w="6633"/>
        <w:gridCol w:w="1939"/>
      </w:tblGrid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N п/п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Наименование вида предпринимательской деятельности и выполняемых в его составе работ и услуг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Код по общероссийскому классификатору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tcW w:w="857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Предоставление гостиничных услуг, а также услуг по временному размещению и обеспечению временного проживания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1.1.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Деятельность гостиниц и прочих мест для временного проживания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55.1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1.2.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t xml:space="preserve">Услуги по предоставлению мест для временного и краткосрочного проживания и прочих мест для временного проживания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</w:pPr>
            <w:r>
              <w:t xml:space="preserve">55.20, 55.30, 55.90</w:t>
            </w:r>
            <w:r/>
          </w:p>
        </w:tc>
      </w:tr>
    </w:tbl>
    <w:p>
      <w:pPr>
        <w:pStyle w:val="868"/>
        <w:jc w:val="both"/>
      </w:pPr>
      <w:r/>
      <w:r/>
    </w:p>
    <w:p>
      <w:pPr>
        <w:pStyle w:val="868"/>
        <w:jc w:val="both"/>
      </w:pPr>
      <w:r/>
      <w:r/>
    </w:p>
    <w:p>
      <w:pPr>
        <w:pStyle w:val="868"/>
        <w:jc w:val="right"/>
        <w:rPr>
          <w:sz w:val="26"/>
          <w:szCs w:val="26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</w:rPr>
        <w:t xml:space="preserve">Приложение № 2</w:t>
      </w:r>
      <w:r>
        <w:rPr>
          <w:sz w:val="26"/>
          <w:szCs w:val="26"/>
        </w:rPr>
      </w:r>
      <w:r/>
    </w:p>
    <w:p>
      <w:pPr>
        <w:pStyle w:val="86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Утверждены</w:t>
      </w:r>
      <w:r>
        <w:rPr>
          <w:sz w:val="26"/>
          <w:szCs w:val="26"/>
        </w:rPr>
      </w:r>
      <w:r/>
    </w:p>
    <w:p>
      <w:pPr>
        <w:pStyle w:val="86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868"/>
        <w:jc w:val="right"/>
        <w:rPr>
          <w:b w:val="0"/>
          <w:bCs w:val="0"/>
          <w:color w:val="auto"/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Правительства </w:t>
      </w:r>
      <w:r>
        <w:rPr>
          <w:b w:val="0"/>
          <w:bCs w:val="0"/>
          <w:color w:val="auto"/>
          <w:sz w:val="26"/>
          <w:szCs w:val="26"/>
        </w:rPr>
        <w:t xml:space="preserve">Томской области</w:t>
      </w:r>
      <w:r>
        <w:rPr>
          <w:b w:val="0"/>
          <w:bCs w:val="0"/>
          <w:color w:val="auto"/>
          <w:sz w:val="26"/>
          <w:szCs w:val="26"/>
        </w:rPr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PT Astra Serif" w:hAnsi="PT Astra Serif"/>
          <w:sz w:val="26"/>
          <w:szCs w:val="26"/>
        </w:rPr>
        <w:t xml:space="preserve">Ключевые показатели регионального государственного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контроля (надзора) и их целевые значения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844"/>
        <w:jc w:val="center"/>
        <w:spacing w:after="0" w:line="240" w:lineRule="auto"/>
      </w:pPr>
      <w:r>
        <w:rPr>
          <w:rFonts w:ascii="PT Astra Serif" w:hAnsi="PT Astra Serif"/>
          <w:color w:val="0000ff"/>
          <w:sz w:val="26"/>
          <w:szCs w:val="26"/>
        </w:rPr>
      </w: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При осуществлении оценки результативности и эффективности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регионального государственного контроля (надзора) используются следующие ключевые показатели: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доля информации о предоставлении на территории </w:t>
      </w: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услуг средств размещения, не имеющих действующей классификации, размещенной в сети «Интернет» от среднего числа размещенной в сети «Интернет» информации о предоставлении услуг средств размещения;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снижение доли количества услуг экскурсовода (гида) и гида-переводчика, оказываемых лицами, не имеющими соответствующую аттестацию,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  <w:t xml:space="preserve">, за календарный год.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Ключевой показатель, указанный в подпункте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приложения</w:t>
      </w:r>
      <w:r>
        <w:rPr>
          <w:rFonts w:ascii="PT Astra Serif" w:hAnsi="PT Astra Serif"/>
          <w:sz w:val="26"/>
          <w:szCs w:val="26"/>
        </w:rPr>
        <w:t xml:space="preserve"> (К</w:t>
      </w:r>
      <w:r>
        <w:rPr>
          <w:rFonts w:ascii="PT Astra Serif" w:hAnsi="PT Astra Serif"/>
          <w:sz w:val="26"/>
          <w:szCs w:val="26"/>
          <w:vertAlign w:val="subscript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), рассчитывается по следующей формуле: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1079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tabs>
          <w:tab w:val="center" w:pos="3623" w:leader="none"/>
          <w:tab w:val="center" w:pos="5144" w:leader="none"/>
        </w:tabs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=(1 -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 w:cs="Calibri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2120" cy="6350"/>
                <wp:effectExtent l="0" t="0" r="0" b="0"/>
                <wp:docPr id="2" name="Group 2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2119" cy="6349"/>
                          <a:chOff x="0" y="0"/>
                          <a:chExt cx="452119" cy="634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52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fill="norm" stroke="1" extrusionOk="0">
                                <a:moveTo>
                                  <a:pt x="0" y="0"/>
                                </a:moveTo>
                                <a:lnTo>
                                  <a:pt x="4521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35.6pt;height:0.5pt;mso-wrap-distance-left:0.0pt;mso-wrap-distance-top:0.0pt;mso-wrap-distance-right:0.0pt;mso-wrap-distance-bottom:0.0pt;" coordorigin="0,0" coordsize="4521,63">
                <v:shape id="shape 2" o:spid="_x0000_s2" style="position:absolute;left:0;top:0;width:4521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  <w:r>
        <w:rPr>
          <w:rFonts w:ascii="PT Astra Serif" w:hAnsi="PT Astra Serif"/>
          <w:sz w:val="26"/>
          <w:szCs w:val="26"/>
        </w:rPr>
        <w:t xml:space="preserve"> )* 100 %;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418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ср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где: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 количество средств размещения, сведения о действующей классификации которых содержатся в реестре классифицированных средств размещения, находящихся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ср</w:t>
      </w:r>
      <w:r>
        <w:rPr>
          <w:rFonts w:ascii="PT Astra Serif" w:hAnsi="PT Astra Serif"/>
          <w:sz w:val="26"/>
          <w:szCs w:val="26"/>
        </w:rPr>
        <w:t xml:space="preserve">– среднее значение количества карточек, предусматривающих информацию о предоставлении услуг средств размещения, находящихся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/>
          <w:sz w:val="26"/>
          <w:szCs w:val="26"/>
          <w:u w:val="single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рассчитываемое как сумма количества указанных карточек, размещенных не менее чем на трех сайтах владельцев агрегаторов</w:t>
      </w:r>
      <w:r>
        <w:rPr>
          <w:rFonts w:ascii="PT Astra Serif" w:hAnsi="PT Astra Serif"/>
          <w:sz w:val="26"/>
          <w:szCs w:val="26"/>
        </w:rPr>
        <w:t xml:space="preserve"> информации об услугах, владельцев сервисов объявлений в сети «Интернет», разделенная на количество таких владельцев агрегаторов информации об услугах, владельцев сервисов объявлений, на сайтах которых в сети «Интернет» получена соответствующая информация.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3. </w:t>
      </w: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ния, является сокращение значения соответствующего ключ</w:t>
      </w:r>
      <w:r>
        <w:rPr>
          <w:rFonts w:ascii="PT Astra Serif" w:hAnsi="PT Astra Serif"/>
          <w:sz w:val="26"/>
          <w:szCs w:val="26"/>
        </w:rPr>
        <w:t xml:space="preserve">евого показателя за календарный год, не менее чем на 10 процентных пунктов по сравнению с предыдущим календарным годом. В случае если значение ключевого показателя достигает значения ниже 5 %, целевым значением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1) </w:t>
      </w:r>
      <w:r>
        <w:rPr>
          <w:rFonts w:ascii="PT Astra Serif" w:hAnsi="PT Astra Serif"/>
          <w:sz w:val="26"/>
          <w:szCs w:val="26"/>
        </w:rPr>
        <w:t xml:space="preserve">пункта</w:t>
      </w:r>
      <w:r>
        <w:rPr>
          <w:rFonts w:ascii="PT Astra Serif" w:hAnsi="PT Astra Serif"/>
          <w:sz w:val="26"/>
          <w:szCs w:val="26"/>
        </w:rPr>
        <w:t xml:space="preserve"> 1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>
        <w:rPr>
          <w:rFonts w:ascii="PT Astra Serif" w:hAnsi="PT Astra Serif"/>
          <w:sz w:val="26"/>
          <w:szCs w:val="26"/>
        </w:rPr>
        <w:t xml:space="preserve">прил</w:t>
      </w:r>
      <w:r>
        <w:rPr>
          <w:rFonts w:ascii="PT Astra Serif" w:hAnsi="PT Astra Serif"/>
          <w:sz w:val="26"/>
          <w:szCs w:val="26"/>
        </w:rPr>
        <w:t xml:space="preserve">ожения, является достижение значения указанного ключевого показателя равного «0».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4. </w:t>
      </w:r>
      <w:r>
        <w:rPr>
          <w:rFonts w:ascii="PT Astra Serif" w:hAnsi="PT Astra Serif"/>
          <w:sz w:val="26"/>
          <w:szCs w:val="26"/>
        </w:rPr>
        <w:t xml:space="preserve">Ключевой показатель, указанный в подпункте </w:t>
      </w:r>
      <w:r>
        <w:rPr>
          <w:rFonts w:ascii="PT Astra Serif" w:hAnsi="PT Astra Serif"/>
          <w:sz w:val="26"/>
          <w:szCs w:val="26"/>
        </w:rPr>
        <w:t xml:space="preserve">2)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 (К</w:t>
      </w:r>
      <w:r>
        <w:rPr>
          <w:rFonts w:ascii="PT Astra Serif" w:hAnsi="PT Astra Serif"/>
          <w:sz w:val="26"/>
          <w:szCs w:val="26"/>
          <w:vertAlign w:val="subscript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), рассчитывается по следующей формуле: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922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а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tabs>
          <w:tab w:val="center" w:pos="3419" w:leader="none"/>
          <w:tab w:val="center" w:pos="5112" w:leader="none"/>
        </w:tabs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2 </w:t>
      </w:r>
      <w:r>
        <w:rPr>
          <w:rFonts w:ascii="PT Astra Serif" w:hAnsi="PT Astra Serif"/>
          <w:sz w:val="26"/>
          <w:szCs w:val="26"/>
        </w:rPr>
        <w:t xml:space="preserve">=(1 -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 w:cs="Calibri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0560" cy="6350"/>
                <wp:effectExtent l="0" t="0" r="0" b="0"/>
                <wp:docPr id="3" name="Group 2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0559" cy="6349"/>
                          <a:chOff x="0" y="0"/>
                          <a:chExt cx="670559" cy="634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70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fill="norm" stroke="1" extrusionOk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52.8pt;height:0.5pt;mso-wrap-distance-left:0.0pt;mso-wrap-distance-top:0.0pt;mso-wrap-distance-right:0.0pt;mso-wrap-distance-bottom:0.0pt;" coordorigin="0,0" coordsize="6705,63">
                <v:shape id="shape 4" o:spid="_x0000_s4" style="position:absolute;left:0;top:0;width:6705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  <w:r>
        <w:rPr>
          <w:rFonts w:ascii="PT Astra Serif" w:hAnsi="PT Astra Serif"/>
          <w:sz w:val="26"/>
          <w:szCs w:val="26"/>
        </w:rPr>
        <w:t xml:space="preserve"> )* 100 %;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922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где: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а</w:t>
      </w:r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 количество услуг, оказываемых аттестованными экскурсоводами (гидами) и гидами-переводчиками на туристских маршрутах, проходящих по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/>
          <w:sz w:val="26"/>
          <w:szCs w:val="26"/>
          <w:u w:val="single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к </w:t>
      </w:r>
      <w:r>
        <w:rPr>
          <w:rFonts w:ascii="PT Astra Serif" w:hAnsi="PT Astra Serif"/>
          <w:sz w:val="26"/>
          <w:szCs w:val="26"/>
        </w:rPr>
        <w:t xml:space="preserve">– количество экскурсионных услуг, оказываемых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2)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</w:t>
      </w:r>
      <w:r>
        <w:rPr>
          <w:rFonts w:ascii="PT Astra Serif" w:hAnsi="PT Astra Serif"/>
          <w:sz w:val="26"/>
          <w:szCs w:val="26"/>
        </w:rPr>
        <w:t xml:space="preserve">ения, является сокращение значения соответствующего ключ</w:t>
      </w:r>
      <w:r>
        <w:rPr>
          <w:rFonts w:ascii="PT Astra Serif" w:hAnsi="PT Astra Serif"/>
          <w:sz w:val="26"/>
          <w:szCs w:val="26"/>
        </w:rPr>
        <w:t xml:space="preserve">евого показателя за календарный год, не менее чем на 10 процентных пунктов по сравнению с предыдущим календарным годом. В случае если значение ключевого показателя достигает значения ниже 5 %, целевым значением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</w:t>
      </w:r>
      <w:r>
        <w:rPr>
          <w:rFonts w:ascii="PT Astra Serif" w:hAnsi="PT Astra Serif"/>
          <w:sz w:val="26"/>
          <w:szCs w:val="26"/>
        </w:rPr>
        <w:t xml:space="preserve">ложения, является достижение значения указанного ключевого показателя равного «0».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Значение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пункта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ния, определяется на основании информации Министерства Российской Федерации по делам гражданской обороны, чр</w:t>
      </w:r>
      <w:r>
        <w:rPr>
          <w:rFonts w:ascii="PT Astra Serif" w:hAnsi="PT Astra Serif"/>
          <w:sz w:val="26"/>
          <w:szCs w:val="26"/>
        </w:rPr>
        <w:t xml:space="preserve">езвычайным ситуациям и ликвидации последствий стихийных бедствий по итогах анализа сведений о количестве физических лиц, погибших или получивших травмы при прохождении туристских маршрутов, требующих специального сопровождения, по итогам календарного года.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rPr>
          <w:rFonts w:ascii="PT Astra Serif" w:hAnsi="PT Astra Serif" w:eastAsia="Times New Roman" w:cs="PT Astra Serif"/>
          <w:b w:val="0"/>
          <w:bCs w:val="0"/>
          <w:color w:val="0000ff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3) </w:t>
      </w:r>
      <w:r>
        <w:rPr>
          <w:rFonts w:ascii="PT Astra Serif" w:hAnsi="PT Astra Serif"/>
          <w:sz w:val="26"/>
          <w:szCs w:val="26"/>
        </w:rPr>
        <w:t xml:space="preserve">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</w:t>
      </w:r>
      <w:r>
        <w:rPr>
          <w:rFonts w:ascii="PT Astra Serif" w:hAnsi="PT Astra Serif"/>
          <w:sz w:val="26"/>
          <w:szCs w:val="26"/>
        </w:rPr>
        <w:t xml:space="preserve">ложения является снижение значения соответствующего ключевого показателя не менее чем на 10 единиц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68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</w:rPr>
        <w:t xml:space="preserve">Приложение № 3</w:t>
      </w:r>
      <w:r>
        <w:rPr>
          <w:sz w:val="26"/>
          <w:szCs w:val="26"/>
        </w:rPr>
      </w:r>
      <w:r/>
    </w:p>
    <w:p>
      <w:pPr>
        <w:pStyle w:val="868"/>
        <w:jc w:val="both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8"/>
        <w:jc w:val="right"/>
      </w:pPr>
      <w:r>
        <w:rPr>
          <w:sz w:val="26"/>
          <w:szCs w:val="26"/>
        </w:rPr>
        <w:t xml:space="preserve">Утверждены</w:t>
      </w:r>
      <w:r>
        <w:rPr>
          <w:sz w:val="26"/>
          <w:szCs w:val="26"/>
        </w:rPr>
      </w:r>
      <w:r/>
    </w:p>
    <w:p>
      <w:pPr>
        <w:pStyle w:val="868"/>
        <w:jc w:val="right"/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868"/>
        <w:jc w:val="right"/>
        <w:rPr>
          <w:color w:val="auto"/>
        </w:rPr>
      </w:pPr>
      <w:r>
        <w:rPr>
          <w:b w:val="0"/>
          <w:bCs w:val="0"/>
          <w:color w:val="auto"/>
          <w:sz w:val="26"/>
          <w:szCs w:val="26"/>
        </w:rPr>
        <w:t xml:space="preserve">Правительства </w:t>
      </w:r>
      <w:r>
        <w:rPr>
          <w:b w:val="0"/>
          <w:bCs w:val="0"/>
          <w:color w:val="auto"/>
          <w:sz w:val="26"/>
          <w:szCs w:val="26"/>
        </w:rPr>
        <w:t xml:space="preserve">Томской области</w:t>
      </w:r>
      <w:r>
        <w:rPr>
          <w:b w:val="0"/>
          <w:bCs w:val="0"/>
          <w:color w:val="auto"/>
          <w:sz w:val="26"/>
          <w:szCs w:val="26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ИНДИКАТИВНЫЕ ПОКАЗАТЕЛИ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РЕГИОНАЛЬНОГО ГОСУДАРСТВЕННОГО КОНТРОЛЯ (НАДЗОРА) В СФЕРЕ </w:t>
      </w: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ТУРИСТСКОЙ ИНДУСТРИИ НА ТЕРРИТОРИИ ТОМСКОЙ ОБЛАСТИ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 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1. Количество внеплановых контрольных (надзорных) мероприятий,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2.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ов,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3. Общее количество контрольных (надзорных) мероприятий с взаимодействием,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4. Количество контрольных (надзорных) мероприятий с взаимодействием по каждому виду контрольных (надзорных) мероприятий,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5. Количество контрольных (надзорных) мероприятий, проведенных с использованием средств дистанционного взаимодействия,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6. Количество обязательных профилактических визитов,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7. Количество предостережений о недопустимости нарушения обязательных требований, объявленных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8. Количество контрольных (надзорных) мероприятий, по результатам которых выявлены нарушения обязательных требований,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9. 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10. Сумма административных штрафов, наложенных по результатам контрольных (надзорных) мероприятий,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11. Количество направленных в органы прокуратуры заявлений о согласовании проведения контрольных (надзорных) мероприятий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12.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13. Общее количество учтенных объектов контроля на конец отчетного периода.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14. Количество учтенных контролируемых лиц, в отношении которых проведены контрольные (надзорные) мероприятия,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15. Общее количество жалоб, поданных контролируемыми лицами в досудебном порядке,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16. Количество жалоб, в отношении которых Департаментом лицензирования и регионального государственного контроля Томской области был нарушен срок рассмотрения,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17.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Департамента лицензирования и регионального государственного контроля Томской области либо о п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ризнании действий (бездействия) должностных лиц Департамента лицензирования и регионального государственного контроля Томской области незаконными (незаконным),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18. Количество исковых заявлений об оспаривании решений, действий (бездействия) должностных лиц Департамента лицензирования и регионального государственного контроля Томской области, направленных контролируемыми лицами в судебном порядке, за отчетный перио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19.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20. 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в сфере туристской индустрии в соответствии с </w:t>
      </w:r>
      <w:r>
        <w:rPr>
          <w:rFonts w:ascii="PT Astra Serif" w:hAnsi="PT Astra Serif" w:eastAsia="Times New Roman" w:cs="PT Astra Serif"/>
          <w:color w:val="auto"/>
          <w:sz w:val="26"/>
          <w:szCs w:val="26"/>
          <w:u w:val="none"/>
        </w:rPr>
        <w:t xml:space="preserve">частью 2 статьи 91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 Федерального закона № 248-ФЗ, результаты которых были признаны недействительными и (или) отменены,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/>
    </w:p>
    <w:p>
      <w:pPr>
        <w:pStyle w:val="868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/>
    </w:p>
    <w:p>
      <w:pPr>
        <w:pStyle w:val="868"/>
        <w:contextualSpacing/>
        <w:jc w:val="right"/>
        <w:outlineLvl w:val="0"/>
        <w:suppressLineNumbers w:val="0"/>
      </w:pPr>
      <w:r>
        <w:rPr>
          <w:sz w:val="26"/>
          <w:szCs w:val="26"/>
        </w:rPr>
        <w:t xml:space="preserve">Приложе</w:t>
      </w:r>
      <w:r>
        <w:rPr>
          <w:sz w:val="26"/>
          <w:szCs w:val="26"/>
        </w:rPr>
        <w:t xml:space="preserve">ние № 4</w:t>
      </w:r>
      <w:r>
        <w:rPr>
          <w:sz w:val="26"/>
          <w:szCs w:val="26"/>
        </w:rPr>
      </w:r>
      <w:r/>
    </w:p>
    <w:p>
      <w:pPr>
        <w:pStyle w:val="868"/>
        <w:contextualSpacing/>
        <w:jc w:val="right"/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8"/>
        <w:contextualSpacing/>
        <w:jc w:val="right"/>
        <w:suppressLineNumbers w:val="0"/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/>
    </w:p>
    <w:p>
      <w:pPr>
        <w:pStyle w:val="868"/>
        <w:contextualSpacing/>
        <w:jc w:val="right"/>
        <w:suppressLineNumbers w:val="0"/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868"/>
        <w:contextualSpacing/>
        <w:jc w:val="right"/>
        <w:rPr>
          <w:color w:val="auto"/>
        </w:rPr>
        <w:suppressLineNumbers w:val="0"/>
      </w:pPr>
      <w:r>
        <w:rPr>
          <w:b w:val="0"/>
          <w:bCs w:val="0"/>
          <w:color w:val="auto"/>
          <w:sz w:val="26"/>
          <w:szCs w:val="26"/>
        </w:rPr>
        <w:t xml:space="preserve">Правительства </w:t>
      </w:r>
      <w:r>
        <w:rPr>
          <w:b w:val="0"/>
          <w:bCs w:val="0"/>
          <w:color w:val="auto"/>
          <w:sz w:val="26"/>
          <w:szCs w:val="26"/>
        </w:rPr>
        <w:t xml:space="preserve">Томской обл</w:t>
      </w:r>
      <w:r>
        <w:rPr>
          <w:b w:val="0"/>
          <w:bCs w:val="0"/>
          <w:color w:val="auto"/>
          <w:sz w:val="26"/>
          <w:szCs w:val="26"/>
        </w:rPr>
        <w:t xml:space="preserve">асти</w:t>
      </w:r>
      <w:r>
        <w:rPr>
          <w:b w:val="0"/>
          <w:bCs w:val="0"/>
          <w:color w:val="auto"/>
          <w:sz w:val="26"/>
          <w:szCs w:val="26"/>
        </w:rPr>
      </w:r>
      <w:r/>
    </w:p>
    <w:p>
      <w:pPr>
        <w:ind w:left="4966" w:right="-12" w:hanging="10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ind w:left="588" w:right="578" w:hanging="10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ind w:right="578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</w:t>
      </w:r>
      <w:r>
        <w:rPr>
          <w:rFonts w:ascii="PT Astra Serif" w:hAnsi="PT Astra Serif"/>
          <w:sz w:val="26"/>
          <w:szCs w:val="26"/>
        </w:rPr>
        <w:t xml:space="preserve">еречень</w:t>
      </w:r>
      <w:r/>
    </w:p>
    <w:p>
      <w:pPr>
        <w:ind w:right="578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индикаторов риска нарушения обязательных требований по региональному государственному контролю (надзору)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сфере туристской индустрии</w:t>
      </w:r>
      <w:r>
        <w:rPr>
          <w:rFonts w:ascii="PT Astra Serif" w:hAnsi="PT Astra Serif"/>
          <w:sz w:val="26"/>
          <w:szCs w:val="26"/>
        </w:rPr>
        <w:t xml:space="preserve"> на территории Томской области</w:t>
      </w:r>
      <w:r/>
    </w:p>
    <w:p>
      <w:pPr>
        <w:ind w:left="588" w:right="578" w:hanging="10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отсутствие сведений о средстве разме</w:t>
      </w:r>
      <w:r>
        <w:rPr>
          <w:rFonts w:ascii="PT Astra Serif" w:hAnsi="PT Astra Serif"/>
          <w:sz w:val="26"/>
          <w:szCs w:val="26"/>
        </w:rPr>
        <w:t xml:space="preserve">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частью 3 статьи 418.3 Налогового кодекса Российской Федерации;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наличие в реестре классифицированных средств размещения сведений о неоднократном (более двух раз) изменении лицом, осуществляющим предоставление услуг средства размещения, гостиничных услуг, типа средства размещения в течение одного календарного года;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наличие в сети «Интернет», средствах массовой информации и (или) рекламе в течение 3 календарных месяцев информации об од</w:t>
      </w:r>
      <w:r>
        <w:rPr>
          <w:rFonts w:ascii="PT Astra Serif" w:hAnsi="PT Astra Serif"/>
          <w:sz w:val="26"/>
          <w:szCs w:val="26"/>
        </w:rPr>
        <w:t xml:space="preserve">новременной сдаче в аренду одним арендодателем (рекламодателем) для временного проживания на посуточной (понедельной) основе более десяти комнат, апартаментов или иных помещений (за исключением жилых помещений), расположенных в одном здании или сооружении;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отсутствие в течение одного календарного года сведений о представлении инс</w:t>
      </w:r>
      <w:r>
        <w:rPr>
          <w:rFonts w:ascii="PT Astra Serif" w:hAnsi="PT Astra Serif"/>
          <w:sz w:val="26"/>
          <w:szCs w:val="26"/>
        </w:rPr>
        <w:t xml:space="preserve">т</w:t>
      </w:r>
      <w:r>
        <w:rPr>
          <w:rFonts w:ascii="PT Astra Serif" w:hAnsi="PT Astra Serif"/>
          <w:sz w:val="26"/>
          <w:szCs w:val="26"/>
        </w:rPr>
        <w:t xml:space="preserve">руктором-проводником уведомлений о сопровождении туристов (экскурсантов) на туристском маршруте, требующем специального сопровождения (далее – туристский маршрут), в статусе руководителя группы, и (или) сведений об инструкторе-проводнике в уведомлениях 30 </w:t>
      </w:r>
      <w:r>
        <w:rPr>
          <w:rFonts w:ascii="PT Astra Serif" w:hAnsi="PT Astra Serif"/>
          <w:sz w:val="26"/>
          <w:szCs w:val="26"/>
        </w:rPr>
        <w:t xml:space="preserve">о сопровождении туристов (экскурсантов) на туристском маршруте, в статусе инструктора-проводника в составе бригады инструкторов-проводников;</w:t>
      </w:r>
      <w:r>
        <w:rPr>
          <w:rFonts w:ascii="PT Astra Serif" w:hAnsi="PT Astra Serif"/>
          <w:sz w:val="26"/>
          <w:szCs w:val="26"/>
        </w:rPr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tabs>
          <w:tab w:val="left" w:pos="1635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поступление от одного инструктора-проводника двух и более уведомлений о сопровождении туристов (экскурсантов) на двух и более туристских маршрутах одновременно.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sz w:val="26"/>
        <w:szCs w:val="26"/>
      </w:rPr>
      <w:fldChar w:fldCharType="begin"/>
    </w:r>
    <w:r>
      <w:rPr>
        <w:rFonts w:ascii="PT Astra Serif" w:hAnsi="PT Astra Serif"/>
        <w:sz w:val="26"/>
        <w:szCs w:val="26"/>
      </w:rPr>
      <w:instrText xml:space="preserve">PAGE   \* MERGEFORMAT</w:instrText>
    </w:r>
    <w:r>
      <w:rPr>
        <w:rFonts w:ascii="PT Astra Serif" w:hAnsi="PT Astra Serif"/>
        <w:sz w:val="26"/>
        <w:szCs w:val="26"/>
      </w:rPr>
      <w:fldChar w:fldCharType="separate"/>
    </w:r>
    <w:r>
      <w:rPr>
        <w:rFonts w:ascii="PT Astra Serif" w:hAnsi="PT Astra Serif"/>
        <w:sz w:val="26"/>
        <w:szCs w:val="26"/>
      </w:rPr>
      <w:t xml:space="preserve">4</w:t>
    </w:r>
    <w:r>
      <w:rPr>
        <w:rFonts w:ascii="PT Astra Serif" w:hAnsi="PT Astra Serif"/>
        <w:sz w:val="26"/>
        <w:szCs w:val="26"/>
      </w:rPr>
      <w:fldChar w:fldCharType="end"/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4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upperRoman"/>
      <w:pStyle w:val="862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85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57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429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501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73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645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717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89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8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568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79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PT Astra Serif" w:hAnsi="PT Astra Serif" w:eastAsia="Calibri" w:cs="PT Astra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81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14"/>
  </w:num>
  <w:num w:numId="16">
    <w:abstractNumId w:val="17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70"/>
    <w:uiPriority w:val="99"/>
  </w:style>
  <w:style w:type="character" w:styleId="715">
    <w:name w:val="Footer Char"/>
    <w:basedOn w:val="863"/>
    <w:link w:val="872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2"/>
    <w:uiPriority w:val="99"/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2">
    <w:name w:val="Heading 1"/>
    <w:next w:val="861"/>
    <w:link w:val="883"/>
    <w:uiPriority w:val="9"/>
    <w:qFormat/>
    <w:pPr>
      <w:numPr>
        <w:numId w:val="7"/>
      </w:numPr>
      <w:ind w:left="254" w:hanging="10"/>
      <w:jc w:val="center"/>
      <w:keepLines/>
      <w:keepNext/>
      <w:spacing w:line="265" w:lineRule="auto"/>
      <w:outlineLvl w:val="0"/>
    </w:pPr>
    <w:rPr>
      <w:rFonts w:ascii="Times New Roman" w:hAnsi="Times New Roman" w:eastAsia="Times New Roman"/>
      <w:b/>
      <w:color w:val="000000"/>
      <w:sz w:val="28"/>
      <w:szCs w:val="24"/>
      <w14:ligatures w14:val="standardContextual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Balloon Text"/>
    <w:basedOn w:val="861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 w:customStyle="1">
    <w:name w:val="ConsPlusNormal"/>
    <w:pPr>
      <w:widowControl w:val="off"/>
    </w:pPr>
    <w:rPr>
      <w:rFonts w:ascii="PT Astra Serif" w:hAnsi="PT Astra Serif" w:eastAsia="Times New Roman" w:cs="PT Astra Serif"/>
      <w:sz w:val="24"/>
    </w:rPr>
  </w:style>
  <w:style w:type="paragraph" w:styleId="869" w:customStyle="1">
    <w:name w:val="ConsPlusTitle"/>
    <w:pPr>
      <w:widowControl w:val="off"/>
    </w:pPr>
    <w:rPr>
      <w:rFonts w:ascii="PT Astra Serif" w:hAnsi="PT Astra Serif" w:eastAsia="Times New Roman" w:cs="PT Astra Serif"/>
      <w:b/>
      <w:sz w:val="24"/>
    </w:rPr>
  </w:style>
  <w:style w:type="paragraph" w:styleId="870">
    <w:name w:val="Header"/>
    <w:basedOn w:val="861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63"/>
    <w:link w:val="870"/>
    <w:uiPriority w:val="99"/>
  </w:style>
  <w:style w:type="paragraph" w:styleId="872">
    <w:name w:val="Footer"/>
    <w:basedOn w:val="861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63"/>
    <w:link w:val="872"/>
    <w:uiPriority w:val="99"/>
  </w:style>
  <w:style w:type="paragraph" w:styleId="874">
    <w:name w:val="List Paragraph"/>
    <w:basedOn w:val="861"/>
    <w:uiPriority w:val="34"/>
    <w:qFormat/>
    <w:pPr>
      <w:contextualSpacing/>
      <w:ind w:left="720"/>
    </w:pPr>
  </w:style>
  <w:style w:type="character" w:styleId="875" w:customStyle="1">
    <w:name w:val="Основной текст (2)_"/>
    <w:link w:val="876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876" w:customStyle="1">
    <w:name w:val="Основной текст (2)"/>
    <w:basedOn w:val="861"/>
    <w:link w:val="875"/>
    <w:pPr>
      <w:ind w:hanging="1860"/>
      <w:spacing w:after="0" w:line="293" w:lineRule="exact"/>
      <w:shd w:val="clear" w:color="auto" w:fill="ffffff"/>
      <w:widowControl w:val="off"/>
    </w:pPr>
    <w:rPr>
      <w:rFonts w:ascii="Times New Roman" w:hAnsi="Times New Roman" w:eastAsia="Times New Roman"/>
      <w:b/>
      <w:bCs/>
    </w:rPr>
  </w:style>
  <w:style w:type="table" w:styleId="877">
    <w:name w:val="Table Grid"/>
    <w:basedOn w:val="8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8" w:customStyle="1">
    <w:name w:val="Other_"/>
    <w:link w:val="879"/>
    <w:rPr>
      <w:rFonts w:ascii="Times New Roman" w:hAnsi="Times New Roman" w:eastAsia="Times New Roman" w:cs="Times New Roman"/>
      <w:shd w:val="clear" w:color="auto" w:fill="ffffff"/>
    </w:rPr>
  </w:style>
  <w:style w:type="paragraph" w:styleId="879" w:customStyle="1">
    <w:name w:val="Other"/>
    <w:basedOn w:val="861"/>
    <w:link w:val="878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</w:rPr>
  </w:style>
  <w:style w:type="character" w:styleId="880" w:customStyle="1">
    <w:name w:val="pagesindoccount"/>
    <w:basedOn w:val="863"/>
  </w:style>
  <w:style w:type="table" w:styleId="881" w:customStyle="1">
    <w:name w:val="Сетка таблицы1"/>
    <w:basedOn w:val="864"/>
    <w:next w:val="877"/>
    <w:uiPriority w:val="59"/>
    <w:rPr>
      <w:rFonts w:ascii="PT Astra Serif" w:hAnsi="PT Astra Serif" w:eastAsiaTheme="minorHAnsi"/>
      <w:sz w:val="26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2">
    <w:name w:val="Normal (Web)"/>
    <w:basedOn w:val="861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883" w:customStyle="1">
    <w:name w:val="Заголовок 1 Знак"/>
    <w:basedOn w:val="863"/>
    <w:link w:val="862"/>
    <w:uiPriority w:val="9"/>
    <w:rPr>
      <w:rFonts w:ascii="Times New Roman" w:hAnsi="Times New Roman" w:eastAsia="Times New Roman"/>
      <w:b/>
      <w:color w:val="000000"/>
      <w:sz w:val="28"/>
      <w:szCs w:val="24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C3EB-742B-4861-BFC7-0F148C34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Сидоренко</dc:creator>
  <cp:revision>7</cp:revision>
  <dcterms:created xsi:type="dcterms:W3CDTF">2026-04-24T05:12:00Z</dcterms:created>
  <dcterms:modified xsi:type="dcterms:W3CDTF">2026-06-02T05:00:54Z</dcterms:modified>
</cp:coreProperties>
</file>