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638" w:type="dxa"/>
        <w:tblBorders>
          <w:bottom w:val="single" w:color="auto" w:sz="4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5669"/>
        <w:gridCol w:w="2268"/>
      </w:tblGrid>
      <w:tr>
        <w:tblPrEx/>
        <w:trPr/>
        <w:tc>
          <w:tcPr>
            <w:tcBorders>
              <w:bottom w:val="non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937"/>
              <w:ind w:right="0"/>
              <w:jc w:val="left"/>
              <w:spacing w:before="480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Borders>
              <w:bottom w:val="none" w:color="000000" w:sz="4" w:space="0"/>
            </w:tcBorders>
            <w:tcMar>
              <w:right w:w="85" w:type="dxa"/>
            </w:tcMar>
            <w:tcW w:w="5669" w:type="dxa"/>
            <w:textDirection w:val="lrTb"/>
            <w:noWrap w:val="false"/>
          </w:tcPr>
          <w:p>
            <w:pPr>
              <w:pStyle w:val="937"/>
              <w:ind w:right="0"/>
              <w:jc w:val="right"/>
              <w:spacing w:before="480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Borders>
              <w:bottom w:val="non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937"/>
              <w:ind w:right="0"/>
              <w:jc w:val="center"/>
              <w:spacing w:before="480"/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</w:pPr>
            <w:r>
              <w:rPr>
                <w:highlight w:val="none"/>
              </w:rPr>
              <w:t xml:space="preserve">                    №</w:t>
            </w:r>
            <w:bookmarkStart w:id="0" w:name="РегНомер"/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</w:tr>
    </w:tbl>
    <w:p>
      <w:pPr>
        <w:pStyle w:val="944"/>
        <w:jc w:val="center"/>
        <w:spacing w:before="480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  <w:t xml:space="preserve">О внесении изменени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й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 в приказ Департамента по социально-экономическому развитию села Томской области от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27.08.2020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 №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67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 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540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540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  <w:t xml:space="preserve">В целях совершенствования нормативного правового акта 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  <w:t xml:space="preserve">ПРИКАЗЫВАЮ: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  <w:t xml:space="preserve">1.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Внести в приказ Департамента по социально-экономическому развитию села Томской области от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27.08.2020 № 67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«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О предоставлении субсидий на финансовое обеспечение затрат на поддержку кадров агропромышленного комплекса» («Официальный интернет-портал правовой информации» (www.pravo.gov.ru), 02.09.2020, № 7001202009020001)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 следующие изменения: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numPr>
          <w:ilvl w:val="0"/>
          <w:numId w:val="1"/>
        </w:numPr>
        <w:ind w:left="0" w:right="0"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в преамбуле слова «Законом Томской области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от 27 декабря 2024 года            № 138-ОЗ «Об областном бюджете на 2025 год и на плановый период 2026 и 2027 годов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», заменить словами «Законом Томской области 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от 29 декабря 2025 года             № 165-ОЗ «Об областном бюджете на 2026 год и на плановый период 2027 и 2028 годов</w:t>
      </w:r>
      <w:r>
        <w:rPr>
          <w:rFonts w:ascii="PT Astra Serif" w:hAnsi="PT Astra Serif" w:cs="Times New Roman"/>
          <w:sz w:val="26"/>
          <w:szCs w:val="26"/>
          <w:highlight w:val="none"/>
        </w:rPr>
        <w:t xml:space="preserve">»;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numPr>
          <w:ilvl w:val="0"/>
          <w:numId w:val="1"/>
        </w:numPr>
        <w:ind w:left="0" w:right="0"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  <w:t xml:space="preserve">Порядок предоставления субсидий на финансовое обеспечение затрат на поддержку кадров агропромышленного комплекса, утвержденный указанным приказом, изложить в редакции согласно приложению к настоящему приказу.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  <w:t xml:space="preserve">2. Настоящий приказ вступает в силу со дня его официального опубликования.</w:t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p>
      <w:pPr>
        <w:pStyle w:val="944"/>
        <w:ind w:firstLine="709"/>
        <w:jc w:val="both"/>
        <w:rPr>
          <w:rFonts w:ascii="PT Astra Serif" w:hAnsi="PT Astra Serif" w:cs="Times New Roman"/>
          <w:sz w:val="26"/>
          <w:szCs w:val="26"/>
          <w:highlight w:val="none"/>
        </w:rPr>
      </w:pP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  <w:r>
        <w:rPr>
          <w:rFonts w:ascii="PT Astra Serif" w:hAnsi="PT Astra Serif" w:cs="Times New Roman"/>
          <w:sz w:val="26"/>
          <w:szCs w:val="26"/>
          <w:highlight w:val="none"/>
        </w:rPr>
      </w:r>
    </w:p>
    <w:tbl>
      <w:tblPr>
        <w:tblW w:w="9891" w:type="dxa"/>
        <w:tblLayout w:type="fixed"/>
        <w:tblLook w:val="04A0" w:firstRow="1" w:lastRow="0" w:firstColumn="1" w:lastColumn="0" w:noHBand="0" w:noVBand="1"/>
      </w:tblPr>
      <w:tblGrid>
        <w:gridCol w:w="3969"/>
        <w:gridCol w:w="2976"/>
        <w:gridCol w:w="294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968" w:type="dxa"/>
            <w:textDirection w:val="lrTb"/>
            <w:noWrap/>
          </w:tcPr>
          <w:p>
            <w:pPr>
              <w:jc w:val="both"/>
              <w:tabs>
                <w:tab w:val="left" w:pos="7088" w:leader="none"/>
              </w:tabs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/>
                <w:sz w:val="26"/>
                <w:szCs w:val="26"/>
                <w:highlight w:val="none"/>
              </w:rPr>
              <w:t xml:space="preserve">Н</w:t>
            </w:r>
            <w:r>
              <w:rPr>
                <w:rFonts w:ascii="PT Astra Serif" w:hAnsi="PT Astra Serif"/>
                <w:sz w:val="26"/>
                <w:szCs w:val="26"/>
                <w:highlight w:val="none"/>
              </w:rPr>
              <w:t xml:space="preserve">ачальник Департамента 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76" w:type="dxa"/>
            <w:textDirection w:val="lrTb"/>
            <w:noWrap/>
          </w:tcPr>
          <w:p>
            <w:pPr>
              <w:jc w:val="center"/>
              <w:tabs>
                <w:tab w:val="left" w:pos="7088" w:leader="none"/>
              </w:tabs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</w:pPr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  <w:fldChar w:fldCharType="begin"/>
            </w:r>
            <w:bookmarkStart w:id="1" w:name="Штамп"/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  <w:instrText xml:space="preserve"> FORMTEXT </w:instrText>
            </w:r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  <w:fldChar w:fldCharType="separate"/>
            </w:r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  <w:t xml:space="preserve">&lt;Штамп ЭП&gt;</w:t>
            </w:r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  <w:fldChar w:fldCharType="end"/>
            </w:r>
            <w:bookmarkEnd w:id="1"/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color w:val="ffffff" w:themeColor="background1"/>
                <w:sz w:val="26"/>
                <w:szCs w:val="26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946" w:type="dxa"/>
            <w:textDirection w:val="lrTb"/>
            <w:noWrap/>
          </w:tcPr>
          <w:p>
            <w:pPr>
              <w:jc w:val="right"/>
              <w:tabs>
                <w:tab w:val="left" w:pos="7088" w:leader="none"/>
              </w:tabs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pPr>
            <w:r>
              <w:rPr>
                <w:rFonts w:ascii="PT Astra Serif" w:hAnsi="PT Astra Serif"/>
                <w:sz w:val="26"/>
                <w:szCs w:val="26"/>
                <w:highlight w:val="none"/>
              </w:rPr>
              <w:t xml:space="preserve"> </w:t>
            </w:r>
            <w:r>
              <w:rPr>
                <w:rFonts w:ascii="PT Astra Serif" w:hAnsi="PT Astra Serif"/>
                <w:sz w:val="26"/>
                <w:szCs w:val="26"/>
                <w:highlight w:val="none"/>
              </w:rPr>
              <w:t xml:space="preserve">Е.А. Булкина</w:t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6"/>
                <w:szCs w:val="26"/>
                <w:highlight w:val="none"/>
              </w:rPr>
            </w:r>
          </w:p>
        </w:tc>
      </w:tr>
    </w:tbl>
    <w:p>
      <w:pPr>
        <w:jc w:val="both"/>
        <w:tabs>
          <w:tab w:val="left" w:pos="7088" w:leader="none"/>
        </w:tabs>
        <w:rPr>
          <w:rFonts w:ascii="PT Astra Serif" w:hAnsi="PT Astra Serif" w:eastAsia="PT Astra Serif" w:cs="PT Astra Serif"/>
          <w:sz w:val="26"/>
          <w:szCs w:val="26"/>
          <w:highlight w:val="none"/>
        </w:rPr>
        <w:pBdr>
          <w:right w:val="none" w:color="000000" w:sz="4" w:space="3"/>
        </w:pBd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/>
          <w:sz w:val="18"/>
          <w:szCs w:val="18"/>
          <w:highlight w:val="none"/>
        </w:rPr>
        <w:pBdr>
          <w:right w:val="none" w:color="000000" w:sz="4" w:space="3"/>
        </w:pBdr>
      </w:pP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  <w:r>
        <w:rPr>
          <w:rFonts w:ascii="PT Astra Serif" w:hAnsi="PT Astra Serif"/>
          <w:sz w:val="18"/>
          <w:szCs w:val="18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 w:eastAsia="PT Astra Serif" w:cs="PT Astra Serif"/>
          <w:sz w:val="18"/>
          <w:szCs w:val="18"/>
          <w:highlight w:val="none"/>
        </w:rPr>
      </w:pPr>
      <w:r>
        <w:rPr>
          <w:rFonts w:ascii="PT Astra Serif" w:hAnsi="PT Astra Serif" w:eastAsia="PT Astra Serif" w:cs="PT Astra Serif"/>
          <w:sz w:val="18"/>
          <w:szCs w:val="18"/>
          <w:highlight w:val="none"/>
        </w:rPr>
        <w:t xml:space="preserve">Барановская Т.А.</w:t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  <w:r>
        <w:rPr>
          <w:rFonts w:ascii="PT Astra Serif" w:hAnsi="PT Astra Serif" w:eastAsia="PT Astra Serif" w:cs="PT Astra Serif"/>
          <w:sz w:val="18"/>
          <w:szCs w:val="18"/>
          <w:highlight w:val="none"/>
        </w:rPr>
      </w:r>
    </w:p>
    <w:p>
      <w:pPr>
        <w:shd w:val="nil" w:color="auto"/>
        <w:rPr>
          <w:rFonts w:ascii="PT Astra Serif" w:hAnsi="PT Astra Serif"/>
          <w:sz w:val="26"/>
          <w:szCs w:val="26"/>
          <w:highlight w:val="none"/>
        </w:rPr>
      </w:pPr>
      <w:r>
        <w:rPr>
          <w:rFonts w:ascii="PT Astra Serif" w:hAnsi="PT Astra Serif"/>
          <w:sz w:val="26"/>
          <w:szCs w:val="26"/>
          <w:highlight w:val="none"/>
          <w:lang w:eastAsia="ru-RU" w:bidi="ar-SA"/>
        </w:rPr>
        <w:br w:type="page" w:clear="all"/>
      </w: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</w:rPr>
      </w:r>
    </w:p>
    <w:p>
      <w:pPr>
        <w:ind w:left="4962"/>
        <w:spacing w:line="288" w:lineRule="atLeast"/>
        <w:rPr>
          <w:rFonts w:ascii="PT Astra Serif" w:hAnsi="PT Astra Serif"/>
          <w:sz w:val="26"/>
          <w:szCs w:val="26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/>
          <w:sz w:val="26"/>
          <w:szCs w:val="26"/>
          <w:highlight w:val="none"/>
          <w:lang w:eastAsia="ru-RU" w:bidi="ar-SA"/>
        </w:rPr>
        <w:t xml:space="preserve">Приложение</w:t>
      </w: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</w:rPr>
      </w:r>
    </w:p>
    <w:p>
      <w:pPr>
        <w:ind w:left="4962"/>
        <w:spacing w:line="288" w:lineRule="atLeast"/>
        <w:rPr>
          <w:rFonts w:ascii="PT Astra Serif" w:hAnsi="PT Astra Serif"/>
          <w:sz w:val="26"/>
          <w:szCs w:val="26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/>
          <w:sz w:val="26"/>
          <w:szCs w:val="26"/>
          <w:highlight w:val="none"/>
          <w:lang w:eastAsia="ru-RU" w:bidi="ar-SA"/>
        </w:rPr>
        <w:t xml:space="preserve">к приказу Департамента по социально-экономическому развитию села Томской области от </w:t>
      </w: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</w:rPr>
      </w:r>
    </w:p>
    <w:p>
      <w:pPr>
        <w:ind w:left="4962"/>
        <w:spacing w:line="288" w:lineRule="atLeast"/>
        <w:rPr>
          <w:rFonts w:ascii="PT Astra Serif" w:hAnsi="PT Astra Serif"/>
          <w:sz w:val="26"/>
          <w:szCs w:val="26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</w:rPr>
      </w:r>
    </w:p>
    <w:p>
      <w:pPr>
        <w:jc w:val="both"/>
        <w:widowControl w:val="off"/>
        <w:rPr>
          <w:rFonts w:ascii="PT Astra Serif" w:hAnsi="PT Astra Serif"/>
          <w:sz w:val="26"/>
          <w:szCs w:val="26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/>
          <w:sz w:val="26"/>
          <w:szCs w:val="26"/>
          <w:highlight w:val="none"/>
        </w:rPr>
      </w:r>
    </w:p>
    <w:p>
      <w:pPr>
        <w:jc w:val="center"/>
        <w:spacing w:line="240" w:lineRule="auto"/>
        <w:widowControl w:val="off"/>
        <w:rPr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 w:cs="Arial"/>
          <w:sz w:val="26"/>
          <w:szCs w:val="26"/>
          <w:highlight w:val="none"/>
          <w:lang w:eastAsia="ru-RU" w:bidi="ar-SA"/>
        </w:rPr>
        <w:t xml:space="preserve">Порядок</w:t>
      </w:r>
      <w:r>
        <w:rPr>
          <w:rFonts w:ascii="PT Astra Serif" w:hAnsi="PT Astra Serif" w:cs="Arial"/>
          <w:sz w:val="26"/>
          <w:szCs w:val="26"/>
          <w:highlight w:val="none"/>
          <w:lang w:eastAsia="ru-RU" w:bidi="ar-SA"/>
        </w:rPr>
      </w:r>
      <w:r>
        <w:rPr>
          <w:highlight w:val="none"/>
        </w:rPr>
      </w:r>
    </w:p>
    <w:p>
      <w:pPr>
        <w:jc w:val="center"/>
        <w:spacing w:line="240" w:lineRule="auto"/>
        <w:widowControl w:val="off"/>
        <w:rPr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 w:cs="Arial"/>
          <w:sz w:val="26"/>
          <w:szCs w:val="26"/>
          <w:highlight w:val="none"/>
          <w:lang w:eastAsia="ru-RU" w:bidi="ar-SA"/>
        </w:rPr>
        <w:t xml:space="preserve">предоставления субсидий на финансовое обеспечение затрат</w:t>
      </w:r>
      <w:r>
        <w:rPr>
          <w:rFonts w:ascii="PT Astra Serif" w:hAnsi="PT Astra Serif" w:cs="Arial"/>
          <w:sz w:val="26"/>
          <w:szCs w:val="26"/>
          <w:highlight w:val="none"/>
          <w:lang w:eastAsia="ru-RU" w:bidi="ar-SA"/>
        </w:rPr>
      </w:r>
      <w:r>
        <w:rPr>
          <w:highlight w:val="none"/>
        </w:rPr>
      </w:r>
    </w:p>
    <w:p>
      <w:pPr>
        <w:jc w:val="center"/>
        <w:spacing w:line="240" w:lineRule="auto"/>
        <w:widowControl w:val="off"/>
        <w:rPr>
          <w:rFonts w:ascii="PT Astra Serif" w:hAnsi="PT Astra Serif" w:cs="Arial"/>
          <w:sz w:val="26"/>
          <w:szCs w:val="26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 w:cs="Arial"/>
          <w:sz w:val="26"/>
          <w:szCs w:val="26"/>
          <w:highlight w:val="none"/>
          <w:lang w:eastAsia="ru-RU" w:bidi="ar-SA"/>
        </w:rPr>
        <w:t xml:space="preserve">на поддержку кадров агропромышленного комплекса</w:t>
      </w:r>
      <w:r>
        <w:rPr>
          <w:rFonts w:ascii="PT Astra Serif" w:hAnsi="PT Astra Serif" w:cs="Arial"/>
          <w:sz w:val="26"/>
          <w:szCs w:val="26"/>
          <w:highlight w:val="none"/>
          <w:lang w:eastAsia="ru-RU" w:bidi="ar-SA"/>
        </w:rPr>
      </w:r>
      <w:r>
        <w:rPr>
          <w:rFonts w:ascii="PT Astra Serif" w:hAnsi="PT Astra Serif" w:cs="Arial"/>
          <w:sz w:val="26"/>
          <w:szCs w:val="26"/>
          <w:highlight w:val="none"/>
        </w:rPr>
      </w:r>
    </w:p>
    <w:p>
      <w:pPr>
        <w:jc w:val="both"/>
        <w:spacing w:line="240" w:lineRule="auto"/>
        <w:widowControl w:val="off"/>
        <w:rPr>
          <w:rFonts w:ascii="PT Astra Serif" w:hAnsi="PT Astra Serif"/>
          <w:sz w:val="24"/>
          <w:szCs w:val="24"/>
          <w:highlight w:val="non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</w:pPr>
      <w:r>
        <w:rPr>
          <w:rFonts w:ascii="PT Astra Serif" w:hAnsi="PT Astra Serif"/>
          <w:sz w:val="24"/>
          <w:szCs w:val="24"/>
          <w:highlight w:val="none"/>
          <w:lang w:eastAsia="ru-RU" w:bidi="ar-SA"/>
        </w:rPr>
      </w:r>
      <w:r>
        <w:rPr>
          <w:rFonts w:ascii="PT Astra Serif" w:hAnsi="PT Astra Serif"/>
          <w:sz w:val="24"/>
          <w:szCs w:val="24"/>
          <w:highlight w:val="none"/>
          <w:lang w:eastAsia="ru-RU" w:bidi="ar-SA"/>
        </w:rPr>
      </w:r>
      <w:r>
        <w:rPr>
          <w:rFonts w:ascii="PT Astra Serif" w:hAnsi="PT Astra Serif"/>
          <w:sz w:val="24"/>
          <w:szCs w:val="24"/>
          <w:highlight w:val="none"/>
        </w:rPr>
      </w:r>
    </w:p>
    <w:p>
      <w:pPr>
        <w:pStyle w:val="948"/>
        <w:jc w:val="center"/>
        <w:spacing w:line="240" w:lineRule="auto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1. Общие положения о предоставлении субсидий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spacing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1. 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астоящий Порядок определяет правила предоставления из областного бюджета субсидий на финансовое 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беспечение затрат на поддержку кадров агропромышленного комплекса (далее - субсидия).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2. В целях реализации настоящего Порядка: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а)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под «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ещами индивидуального пользования» понимается одежда, обувь, белье, предметы личной гигиены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мобильный телефон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 иное имущество, предназначенное для 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спользования только одним лицом;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ж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ц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признается жилое помещение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на территории Томской области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в котором молодой специалист постоянно прож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ивает  на законном осн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овании (на праве собственности, по договору найма (аренды, поднайма)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подтвержденном регистраци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ей по месту жительства либо по месту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пребывания.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3. Целью предоставления субсидии в рам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ках комплекса процессных мероприятий «Кадрово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е, консультационное и информационное обеспечение агропромышленного комплекса» государственной программы «Развитие сельского хозяйства, рынков сырья и продовольствия в Томской области», утвержденной постановление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м Администрации Томской области от 26.09.2019 № 338а                          «Об утверждении государственной программы «Развитие сельского хозяйства, рынков сырья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 продовольствия в Томской области», является реализация мероприятия по поддержке кадров агропромышленного комплекса.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4. Глав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ным распорядителем средств областного бюджета,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етствующий финансовый год и плановый период, является Департамент по социально-экономическому развитию села Томской области (далее - Департамент), расположенный по адресу: г. Томск, 634003, ул. Пушкина, 16/1, адрес электронной почт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ы sekretar@agro.tomsk.ru.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5. Способом предоставления субсидии является финансовое обеспечение затрат.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6. Информация о субсидии размещается на едином портале бюджетной системы Российской Федерации в информационно-телекоммуникационной сети «Интернет» в разделе единого портала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(далее - единый портал) в порядке, установленном Министерством финансов Российской Федерации.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spacing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8"/>
        <w:jc w:val="center"/>
        <w:spacing w:line="240" w:lineRule="auto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8"/>
        <w:jc w:val="center"/>
        <w:spacing w:line="240" w:lineRule="auto"/>
        <w:rPr>
          <w:rFonts w:ascii="PT Astra Serif" w:hAnsi="PT Astra Serif" w:eastAsia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8"/>
        <w:jc w:val="center"/>
        <w:spacing w:line="240" w:lineRule="auto"/>
        <w:rPr>
          <w:rFonts w:ascii="PT Astra Serif" w:hAnsi="PT Astra Serif" w:eastAsia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2. Порядок проведения отбора получателей субсидий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8"/>
        <w:jc w:val="center"/>
        <w:spacing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для предоставления субсидий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spacing w:line="24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7. Государс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твенной информационной системой, обеспечивающей проведение отбора получателей субсидии для предоставления субсидии (далее - отбор), является государственная интегрированная информационная система «Электронный бюджет» (далее - система «Электронный бюджет»).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Доступ к системе «Электронный бюджет» обеспечивается с использованием федеральной государственной информ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заимодействие Департамента с участниками отбора в системе «Электронный бюджет» осуществляется с использованием документов в электронной форме.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8. Способом проведения отбора на конкурентной основе является запрос предложений.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9. В целях проведения отбора Департамент не позднее чем за 1 календарный день до даты 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ачала подачи заявок участниками отбора размещает на едином портале и на официальном сайте Департамента в информационно-телекоммуникационной сети «Интернет» https://depagro.tomsk.gov.ru (далее - официальный сайт Департамента) объявление о проведении отбора.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10. В объявлении о проведении отбора указывается следующая информация: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1) дата размещения объявления о проведении отбора на едином портале в сети «Интернет»;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2) сроки проведения отбора, а также информация о возможности прове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дения нескольких этапов отбора с указанием сроков и порядка их проведения;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3) дата начала подачи и окончания приема заявок участников отбора, при этом дата окончания приема заявок не может быть ранее 10-го календарного дня, следующего за днем размещения объявления о проведении отбора на едином портале;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4) наименование, место нахождения, почтовый адрес, адрес электронной почты Департамента;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5) результат предоставления субсидии;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6) доменное имя и (или) указатели страниц государственной информационной системы в сети «Интернет»;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7) требования к участникам отбора, определенные в соответствии с </w:t>
      </w:r>
      <w:hyperlink w:tooltip="12. Участник отбора на дату рассмотрения заявки и на дату заключения соглашения о предоставлении субсидии (далее - соглашение) должен соответствовать следующим требованиям:" w:anchor="P8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12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которым участник отбора должен соответствовать на дату рассмотрения заявки и к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перечню документов, представляемых участниками отбора для подтверждения соответствия указанным требованиям;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8) категории получателей субсидии;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9) порядок подачи участниками отбора заявок и требования, предъявляемые к форме и содержанию заявок;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10) порядок отзыва заявок, порядок их возврата, определяющий в том числе основания для возврата заявок, порядок внесения изменений в заявки;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11) правила рассмотрения и оценки заявок в соответствии с </w:t>
      </w:r>
      <w:hyperlink w:tooltip="16. В день поступления заявок (в рабочее время) Департаменту в системе &quot;Электронный бюджет&quot; открывается доступ к заявкам для их рассмотрения." w:anchor="P120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пунктами 16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- </w:t>
      </w:r>
      <w:hyperlink w:tooltip="26. Отбор признается несостоявшимся в следующих случаях:" w:anchor="P15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26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настоящего Порядка;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12) порядок возврата заявок на доработку;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13) порядок отклонения заявок, а также информация об основаниях их отклонения;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14) объем распределяемой субсидии в рамках отбо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ра, порядок расчета размера субсидии, правила распределения субсидии по результатам отбора, которые могут включать максимальный, минимальный размер субсидии, предоставляемой победителю (победителям) отбора, а также предельное количество победителей отбора;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15)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16) срок, в течение которого победитель (победители) отбора должен подписать соглашение (далее - соглашение);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17) условия признания победителя (победителей) отбора уклонившимся от заключения соглашения;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18) сроки размещения протокола подведения итогов отбора (документа об итогах прове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дения отбора) на едином портале, которые не могут быть позднее 14 календарного дня, следующего за днем определения победителя отбора.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11. Департамент принимает решение об отмене проведения отбора не позднее чем за 3 календарных дня до даты окончания срока приема заявок в случаях: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уменьшения лимитов бюджетных обязательств на предоставление субсидии на соответствующий финансовый год;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внесения изменений в законодательство Российской Федерации, требующих внесения изменений в настоящий Порядок.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Решение об отме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 отбора размещается на еди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ном портале в течение                             3 календарных дней со дня принятия решения об отмене проведения отбора, а также на официальном сайте Департамента - в течение 1 рабочего дня, следующего за днем принятия решения об отмене проведения отбора.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Поданные заявки возвращаются участникам отбора в день принятия решения об отмене проведения отбора.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Отбор считается отмененным со дня размещения информации о его отмене на едином портале.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12. Участник отбора на дату рассмотрения заявки и на дату заключения соглашения о предоставлении субсидии (далее - соглашение) должен соответствовать следующим требованиям: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1) осуществлять хозяйственную деятельность на территории Томской области;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состоять на учете в налоговом органе;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3) участник отбора - 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ведена процедура банкротства, деятельность не приостановлена в порядке, предусмотренном законодательством Российской Федерации, а участник отбора - индивидуальный предприниматель не должен прекратить деятельность в качестве индивидуального предпринимателя;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участник отбора не должен являться иностранным юридическим лицом, в том числе местом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5) у участника отбора должна отсутствовать просроченная задолженность по возврату в областной бюджет субсидий,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бюджетных инвестиций, предоставленных в том числе в соответствии с иными правовыми актами, и иная просроченная задолженность перед областным бюджетом, а также просроченная (неурегулированная) задолженность по денежным обязательствам перед Томской областью;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6) участник отбора не должен получать средства из областного бюджета на основании иных нормативных правовых актов на цель, указанную в </w:t>
      </w:r>
      <w:hyperlink w:tooltip="3. Целью предоставления субсидии в рамках комплекса процессных мероприятий &quot;Кадровое, консультационное и информационное обеспечение агропромышленного комплекса&quot; государственной программы &quot;Развитие сельского хозяйства, рынков сырья и продовольствия в Томской об" w:anchor="P49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пункте 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7)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8) 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связанных с террористическими организациями и террористами или с распространением оружия массового уничтожения;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9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 участник отбора не является иностранным агентом в соответствии с Федеральным законом «О контроле за деятельностью лиц, находящихся под иностранным влиянием».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13. Категориями получателей субсидии являются сельскохозяйственные товаропроизводители, за исключением граждан, ведущих личное подсобное хозяйство.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trike w:val="0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14. Для участия в отборе уч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астники отбора в срок, указанный в объявлении об отборе, в системе «Электронный бюджет» подают заявку, подписанную усиленной квал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ифицированной электронной подписью руководителя участника отбора или уполномоченного им лица, </w:t>
      </w:r>
      <w:r>
        <w:rPr>
          <w:rFonts w:ascii="PT Astra Serif" w:hAnsi="PT Astra Serif" w:eastAsia="PT Astra Serif" w:cs="PT Astra Serif"/>
          <w:strike w:val="0"/>
          <w:sz w:val="26"/>
          <w:szCs w:val="26"/>
          <w:highlight w:val="none"/>
        </w:rPr>
        <w:t xml:space="preserve">с </w:t>
      </w:r>
      <w:r>
        <w:rPr>
          <w:rFonts w:ascii="PT Astra Serif" w:hAnsi="PT Astra Serif" w:eastAsia="PT Astra Serif" w:cs="PT Astra Serif"/>
          <w:strike w:val="0"/>
          <w:sz w:val="26"/>
          <w:szCs w:val="26"/>
          <w:highlight w:val="none"/>
        </w:rPr>
        <w:t xml:space="preserve">приложением электронных копий (</w:t>
      </w:r>
      <w:r>
        <w:rPr>
          <w:rFonts w:ascii="PT Astra Serif" w:hAnsi="PT Astra Serif" w:eastAsia="PT Astra Serif" w:cs="PT Astra Serif"/>
          <w:strike w:val="0"/>
          <w:sz w:val="26"/>
          <w:szCs w:val="26"/>
          <w:highlight w:val="none"/>
        </w:rPr>
        <w:t xml:space="preserve">документов на бумажном носителе, преобразованных в электронную форму путем сканирования) следующих документов</w:t>
      </w:r>
      <w:r>
        <w:rPr>
          <w:rFonts w:ascii="PT Astra Serif" w:hAnsi="PT Astra Serif" w:eastAsia="PT Astra Serif" w:cs="PT Astra Serif"/>
          <w:strike w:val="0"/>
          <w:sz w:val="26"/>
          <w:szCs w:val="26"/>
          <w:highlight w:val="none"/>
        </w:rPr>
        <w:t xml:space="preserve">:</w:t>
      </w:r>
      <w:r>
        <w:rPr>
          <w:rFonts w:ascii="PT Astra Serif" w:hAnsi="PT Astra Serif" w:cs="PT Astra Serif"/>
          <w:strike w:val="0"/>
          <w:highlight w:val="none"/>
        </w:rPr>
      </w:r>
      <w:r>
        <w:rPr>
          <w:rFonts w:ascii="PT Astra Serif" w:hAnsi="PT Astra Serif" w:cs="PT Astra Serif"/>
          <w:strike w:val="0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1) по направлению, предусмотренному </w:t>
      </w:r>
      <w:hyperlink w:tooltip="1) выплата на обустройство и хозяйственное обзаведение молодому специалисту, который ранее не получал выплату на обустройство и хозяйственное обзаведение;" w:anchor="P21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а) </w:t>
      </w:r>
      <w:hyperlink w:tooltip="Справка-расчет" w:anchor="P280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справка-расчет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субсидии по форме согласно приложению № 1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trike/>
          <w:color w:val="ff0000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б) письменное обязате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льство получателя субсидии заключить между получателем субсидии и молодым специалистом в течение 20 рабочих дней с даты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получения субсидии соглашение о предоставлении выплаты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 обустройство и хозяйственное обзаведение, содержащее условия, предусмотренные </w:t>
      </w:r>
      <w:hyperlink w:tooltip="10) наличие соглашения о предоставлении выплаты на обустройство и хозяйственное обзаведение между получателем субсидии и молодым специалистом, содержащего следующие условия:" w:anchor="P19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10) пункта 27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или указанное соглашение (в случае если соглашение заключено)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strike/>
          <w:color w:val="ff0000"/>
          <w:sz w:val="24"/>
          <w:szCs w:val="24"/>
          <w:highlight w:val="none"/>
        </w:rPr>
      </w:r>
      <w:r>
        <w:rPr>
          <w:rFonts w:ascii="PT Astra Serif" w:hAnsi="PT Astra Serif" w:cs="PT Astra Serif"/>
          <w:strike/>
          <w:color w:val="ff0000"/>
          <w:sz w:val="24"/>
          <w:szCs w:val="24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trike/>
          <w:color w:val="ff0000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в) трудовой договор между участником отбора и молодым специалистом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за исключением случаев, когда молодым специалистом является участник отбора -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глава крестьянского (фермерского) хозяйства,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индивидуальный предприниматель или председатель сельскохозяйственного потребительского кооператива)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которому планируется предоставить выплату на обустройство и хозяйственное обзаведение;</w:t>
      </w:r>
      <w:r>
        <w:rPr>
          <w:rFonts w:ascii="PT Astra Serif" w:hAnsi="PT Astra Serif" w:cs="PT Astra Serif"/>
          <w:strike/>
          <w:color w:val="ff0000"/>
          <w:highlight w:val="none"/>
        </w:rPr>
      </w:r>
      <w:r>
        <w:rPr>
          <w:rFonts w:ascii="PT Astra Serif" w:hAnsi="PT Astra Serif" w:cs="PT Astra Serif"/>
          <w:strike/>
          <w:color w:val="ff0000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highlight w:val="none"/>
          <w:vertAlign w:val="baseli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г) приказ (распоря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жение) о приеме на работу молодого специалиста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(за исключением случаев, когда молодой специалист-участник отбора осуществляет функции единоличного исполнительного органа или главы хозяйства на основании протокола об избрании, решения о создании хозяйства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или протокола общего собрания членов сельскохозяйственного кооператива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)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;</w:t>
      </w:r>
      <w:r>
        <w:rPr>
          <w:rFonts w:ascii="PT Astra Serif" w:hAnsi="PT Astra Serif" w:cs="PT Astra Serif"/>
          <w:highlight w:val="none"/>
          <w:vertAlign w:val="baseline"/>
        </w:rPr>
      </w:r>
      <w:r>
        <w:rPr>
          <w:rFonts w:ascii="PT Astra Serif" w:hAnsi="PT Astra Serif" w:cs="PT Astra Serif"/>
          <w:highlight w:val="none"/>
          <w:vertAlign w:val="baseli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  <w:vertAlign w:val="baseli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  <w:vertAlign w:val="baseline"/>
        </w:rPr>
        <w:t xml:space="preserve">д) документ об образовании и (или) о квалификации молодого специалиста;</w:t>
      </w:r>
      <w:r>
        <w:rPr>
          <w:rFonts w:ascii="PT Astra Serif" w:hAnsi="PT Astra Serif" w:cs="PT Astra Serif"/>
          <w:sz w:val="26"/>
          <w:szCs w:val="26"/>
          <w:highlight w:val="none"/>
          <w:vertAlign w:val="baseline"/>
        </w:rPr>
      </w:r>
      <w:r>
        <w:rPr>
          <w:rFonts w:ascii="PT Astra Serif" w:hAnsi="PT Astra Serif" w:cs="PT Astra Serif"/>
          <w:sz w:val="26"/>
          <w:szCs w:val="26"/>
          <w:highlight w:val="none"/>
          <w:vertAlign w:val="baseli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е) </w:t>
      </w:r>
      <w:hyperlink w:tooltip="Список" w:anchor="P328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  <w:vertAlign w:val="baseline"/>
          </w:rPr>
          <w:t xml:space="preserve">список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 молодых специалистов на получение выплаты на обустройство и хозяйственное обзаведение по форме согласно приложению № 2 к настоящему Порядку.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лучае если молодым специалистом является участник отбора – глава крестьянского (фермерского) хозяйства, индивидуальный предприниматель или председатель сельскохозяйственного потребительского кооператива, требования по предоставлению документов, предусмотре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нных подпунктами «б», «в», «г» подпункта 1 настоящего пункта, не применяются.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лава крестьянского (фермерского) хозяйства,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предоставляют в составе заявки следующие документы: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left="0" w:right="0" w:firstLine="567"/>
        <w:jc w:val="both"/>
        <w:spacing w:before="0" w:beforeAutospacing="0" w:line="240" w:lineRule="auto"/>
        <w:rPr>
          <w:rFonts w:ascii="PT Astra Serif" w:hAnsi="PT Astra Serif" w:cs="PT Astra Serif"/>
          <w:strike w:val="0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 выписку из Единого государственного реестра индивидуальных предпринимателей (ЕГРИП) или Единого государственного реестра юридических лиц (ЕГ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РЮЛ), актуальную на да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ту подачи заявки;</w:t>
      </w:r>
      <w:r>
        <w:rPr>
          <w:rFonts w:ascii="PT Astra Serif" w:hAnsi="PT Astra Serif" w:cs="PT Astra Serif"/>
          <w:strike w:val="0"/>
          <w:color w:val="000000" w:themeColor="text1"/>
          <w:highlight w:val="none"/>
        </w:rPr>
      </w:r>
      <w:r>
        <w:rPr>
          <w:rFonts w:ascii="PT Astra Serif" w:hAnsi="PT Astra Serif" w:cs="PT Astra Serif"/>
          <w:strike w:val="0"/>
          <w:color w:val="000000" w:themeColor="text1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ff0000" w:themeColor="text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u w:val="none"/>
          <w:vertAlign w:val="baseline"/>
        </w:rPr>
        <w:t xml:space="preserve">б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u w:val="none"/>
          <w:vertAlign w:val="baseline"/>
        </w:rPr>
        <w:t xml:space="preserve">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 соглашение о создании крестьянского (фермерского) хозяйства (для получателей субсидий - крестьянских (фермерских) хозяйств в случае создания крестьянского (фермерского) хозяйства гражданами) - при наличии;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PT Astra Serif" w:hAnsi="PT Astra Serif" w:cs="PT Astra Serif"/>
          <w:color w:val="ff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В случае если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крестьянское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(фермерское) хозяйство создано одним гражданином, являющимся одновременно его главой и единственным участником (в одном лице), указанное соглашение не представляется. В составе заявки представляется копия решения гражданина о со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здании крестьянского (фермерского) хо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з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яйства;</w:t>
      </w:r>
      <w:r>
        <w:rPr>
          <w:rFonts w:ascii="PT Astra Serif" w:hAnsi="PT Astra Serif" w:cs="PT Astra Serif"/>
          <w:color w:val="ff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color w:val="ff0000" w:themeColor="text1"/>
          <w:sz w:val="24"/>
          <w:szCs w:val="24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протокол общего собрания членов сельскохозяйственного потребительского кооператива об избрании председателя сельскохозяйственного потребительского кооператива (для получателей субсидий – сельскохозяйственных потребительских кооперати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вов);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г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) 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г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арантийное письмо, содержащее условия, предусмотренные подпунктом 11) пункта 27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;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по направлению, предусмотренному </w:t>
      </w:r>
      <w:hyperlink w:tooltip="2) выплата на обустройство и хозяйственное обзаведение молодому специалисту, который ранее получал выплату на обустройство и хозяйственное обзаведение." w:anchor="P21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2)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а) </w:t>
      </w:r>
      <w:hyperlink w:tooltip="Справка-расчет" w:anchor="P280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справка-расчет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субсидии по форме согласно приложению № 1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б) документ, подтверждающий ранее полученную выплату на обустройство и хозяйственное обзаведение (платежное поручение, сог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лашение о предоставлении выплаты на обустройство и хозяйственное обзаведение), либо иную информацию, подтверждающую ранее полученную выплату на обустройство и хозяйственное обзаведение молодым специалистом в Департаменте с указанием года получения выплаты;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в) письменное обязате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льство получателя субсидии заключить между получателем субсидии и молодым специалистом в течение 20 рабочих дней с даты получения субсидии соглашение о предоставлении выплаты на обустройство и хозяйственное обзаведение, содержащее условия, предусмотренные </w:t>
      </w:r>
      <w:hyperlink w:tooltip="10) наличие соглашения о предоставлении выплаты на обустройство и хозяйственное обзаведение между получателем субсидии и молодым специалистом, содержащего следующие условия:" w:anchor="P19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10) </w:t>
        </w:r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пункта 27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или указанное соглашение (в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случае если соглашение заключено);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г) трудовой договор между участником отбора и молодым специалистом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 исключением случаев, когда молодым специалистом является участник отбора -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глава крестьянского (фермерского) хозяйства,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индивидуальный предприниматель или председатель сельскохозяйственного потребительского кооператива)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которому планируется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предоставить выплату на обустройство и хозяйственное обзаведение;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д) приказ (распоряжение) о приеме на работу молодого специалиста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(з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 исключением случаев, когда молодой специалист-участник отбора осуществляет функции единоличного исполнительного органа или главы хозяйства на основании протокола об избрании, решения о создании хозяйства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или протокола общего собрания членов сельскохозяйственного кооператива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)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;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е) документ об образовании и (или) о квалификации молодого специалиста;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ж) трудовая книжка или эле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ктронная трудовая книжка молодого специалиста за период исполнения обязательств по соглашению о предоставлении выплаты на обустройство и хозяйственное обзаведение или договору о предоставлении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социальной выплаты на обустройство и хозяйственное обзаведение;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з) </w:t>
      </w:r>
      <w:hyperlink w:tooltip="Список" w:anchor="P328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список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молодых специалистов на получение выплаты на обустройство и хозяйственное обзаведение по форме согласно приложению № 2 к настоящему Порядку.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лучае если молодым специалистом является участник отбора – глава крестьянского (фермерского) хозяйства,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требования по предоставлению документов, предусмотре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нных подпунктами в), г), д),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ж) подпункта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настоящего пункта, не применяются.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лава крестьянского (фермерского) хозяйства,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предоставляют в составе заявки следующие документы: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left="0" w:right="0" w:firstLine="567"/>
        <w:jc w:val="both"/>
        <w:spacing w:before="0" w:beforeAutospacing="0" w:line="240" w:lineRule="auto"/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выписку из Единого государственного реестра индивидуальных предпринимателей (ЕГРИП) или Единого государственного реестра юридических лиц (ЕГРЮЛ), актуальную на да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ту подачи заявки;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</w:r>
    </w:p>
    <w:p>
      <w:pPr>
        <w:pStyle w:val="944"/>
        <w:ind w:left="0" w:right="0" w:firstLine="567"/>
        <w:jc w:val="both"/>
        <w:spacing w:before="0" w:beforeAutospacing="0" w:line="240" w:lineRule="auto"/>
        <w:rPr>
          <w:rFonts w:ascii="PT Astra Serif" w:hAnsi="PT Astra Serif" w:cs="PT Astra Serif"/>
          <w:strike w:val="0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соглашение о создании крестьянского (фермерского) хозяйства (для получателей субсидий - крестьянских (фермерских) хозяйств в случае создания крестьянского (фермерского) хозяйства гражданами) - при наличии.</w:t>
      </w:r>
      <w:r>
        <w:rPr>
          <w:rFonts w:ascii="PT Astra Serif" w:hAnsi="PT Astra Serif" w:cs="PT Astra Serif"/>
          <w:strike w:val="0"/>
          <w:color w:val="000000" w:themeColor="text1"/>
          <w:highlight w:val="none"/>
        </w:rPr>
      </w:r>
      <w:r>
        <w:rPr>
          <w:rFonts w:ascii="PT Astra Serif" w:hAnsi="PT Astra Serif" w:cs="PT Astra Serif"/>
          <w:strike w:val="0"/>
          <w:color w:val="000000" w:themeColor="text1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PT Astra Serif" w:hAnsi="PT Astra Serif" w:cs="PT Astra Serif"/>
          <w:strike w:val="0"/>
          <w:color w:val="ff0000" w:themeColor="text1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В случае если 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крестьянское 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(фермерское) хозяйство создано одним гражданином, являющимся одновременно его главой и единственным участником (в одном лице), указанное соглашение не представляется, а в составе заявки представляется копия решения гражданина о со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здании крестьянского (фермерского) хо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з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яйства;</w:t>
      </w:r>
      <w:r>
        <w:rPr>
          <w:rFonts w:ascii="PT Astra Serif" w:hAnsi="PT Astra Serif" w:cs="PT Astra Serif"/>
          <w:strike w:val="0"/>
          <w:color w:val="ff0000" w:themeColor="text1"/>
          <w:sz w:val="24"/>
          <w:szCs w:val="24"/>
          <w:highlight w:val="none"/>
        </w:rPr>
      </w:r>
      <w:r>
        <w:rPr>
          <w:rFonts w:ascii="PT Astra Serif" w:hAnsi="PT Astra Serif" w:cs="PT Astra Serif"/>
          <w:strike w:val="0"/>
          <w:color w:val="ff0000" w:themeColor="text1"/>
          <w:sz w:val="24"/>
          <w:szCs w:val="24"/>
          <w:highlight w:val="none"/>
        </w:rPr>
      </w:r>
    </w:p>
    <w:p>
      <w:pPr>
        <w:ind w:left="0" w:right="0" w:firstLine="540"/>
        <w:jc w:val="both"/>
        <w:spacing w:before="0" w:beforeAutospacing="0" w:after="0" w:line="240" w:lineRule="auto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t xml:space="preserve">прот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  <w:t xml:space="preserve">окол общего собрания членов сельскохозяйственного потребительского кооператива об избрании председателя сельскохозяйственного потребительского кооператива (для получателей субсидий – сельскохозяйственных потребительских кооперативов);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  <w:vertAlign w:val="baseline"/>
        </w:rPr>
      </w:r>
    </w:p>
    <w:p>
      <w:pPr>
        <w:ind w:left="0" w:right="0" w:firstLine="540"/>
        <w:jc w:val="both"/>
        <w:spacing w:before="0" w:beforeAutospacing="0" w:after="0" w:line="288" w:lineRule="atLeast"/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г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арантийное письмо, содержащее условия, предусмотренные подпунктом 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11) 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пункта 27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</w: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  <w:vertAlign w:val="baseli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15. Не допускается представление документов, на ко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торых отсутствует подпись уполномоченного лица, оттиск печати (при ее наличии), имеются опечатки, подчистки, исправления, ошибки в расчетах, а также если текст документов не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поддается прочтению или представленные документы содержат противоречивые сведения.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Электронные копии документов и материалы, включаемые в заявку,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должны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иметь распространенные открытые форматы,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обеспечивающие возможность просмотра всего документа либо его фрагмента средствами общедоступного программного обеспечения просмотра информации, позволяющими осуществить ознакомление с их содержимым без специальных программных или технологических средств.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Документы, представляемые при проведении отбора, должны содержать согласие участника отбора на публикацию (размещение) в информационно-телекоммуникационной сети «Интернет» информации об участнике отбора, о подаваемо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«Электронный бюджет».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Датой представления участником отбора заявки считается день подписания участником отбора заявки с присвоением ей регистрационного номера в системе «Электронный бюджет».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16. В день поступления заявок (в рабочее время) Департаменту в системе «Электронный бюджет» открывается доступ к заявкам для их рассмотрения.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Протокол вскрытия заявок формируется на едином портале автоматичес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ки и подписывается усиленной квалифицированной электронной подписью начальника Департамента или уполномоченного им лица в системе «Электронный бюджет», а также размещается на едином портале не позднее 1 рабочего дня, следующего за днем его подписания.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17. Проверка достоверности предоставленной участником отбора информации, а такж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 проверка на соответствие участника отбора категории получателей субсидии, предусмотренной </w:t>
      </w:r>
      <w:hyperlink w:tooltip="13. Категориями получателей субсидии являются сельскохозяйственные товаропроизводители, за исключением граждан, ведущих личное подсобное хозяйство." w:anchor="P9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осуществляется с использованием документов, установленных </w:t>
      </w:r>
      <w:hyperlink w:tooltip="14. Для участия в отборе участники отбора в срок, указанный в объявлении об отборе, в системе &quot;Электронный бюджет&quot; подают заявку, подписанную усиленной квалифицированной электронной подписью руководителя участника отбора или уполномоченного им лица, с приложен" w:anchor="P98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14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и сведений, полученных в порядке межведомственного инф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ормационного взаимодействия, а также из открытых источников, в том числе путем анализа официальной общедоступной информации о деятельности государственных органов, судов (арбитражных судов), размещаемой в информационно-телекоммуникационной сети «Интернет».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Запрещается требовать от учас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тника отбора представления документов и информации в целях подтверждения соответствия участника отбора требованиям, определенным </w:t>
      </w:r>
      <w:hyperlink w:tooltip="12. Участник отбора на дату рассмотрения заявки и на дату заключения соглашения о предоставлении субсидии (далее - соглашение) должен соответствовать следующим требованиям:" w:anchor="P8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12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при наличии соответствующей информации в государственных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информационных системах, доступ к которым у Департамента имеется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Департаменту по собственной инициативе.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Проверка на соответствие участника отбора требованиям, определенным </w:t>
      </w:r>
      <w:hyperlink w:tooltip="3) участник отбора - 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" w:anchor="P90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подпунктами 3)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- 9) пункта 12 настоящего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Порядка, осуществляется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возможности).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отсутствия технической возможности осуществления автоматической проверки в системе «Электронный бюджет» подтверждение соответствия участника отбора требованиям, определенным </w:t>
      </w:r>
      <w:hyperlink w:tooltip="3) участник отбора - юридическое лицо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" w:anchor="P90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подпунктами 3)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- 9) пункта 12 настоящего Порядка, осуществляется путем проставления в электронном виде участником отбора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отметок о соответствии указанным требованиям посредством заполнения соответствующих экранных форм веб-интерфейса системы «Электронный бюджет».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18. Если в целях полного, всестороннего и объективного рассмотрения заявки необходимо получ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ение информации и документов от участника отбора для разъяснений по представленным им документам и информации, Департамент осуществляет запрос у участника отбора разъяснения в отношении документов и информации с использованием системы «Электронный бюджет».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Участник отбора формирует и представляет в систему «Электронный бюджет» информацию и документы в срок не позднее 3 рабочих дней, следующих за днем размещения запроса.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Если участник отбора в течение срока, предусмотренного абзацем вторым настоящего пункта, не представил запрашиваемые документы и информацию в систему «Электронный бюджет», то информация об этом включается в протокол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подведения итогов отбора.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19. Любой участник отбора со дня разме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щения объявления на едином портале не позднее 3 рабочего дня до дня завершения подачи заявок вправе направить Департаменту не более 5 запросов о разъяснении положений объявления путем формирования в системе «Электронный бюджет» соответствующего запроса.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Департаме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нт в ответ на запрос направляет разъяснение положений объявления путем формирования в системе «Электронный бюджет» соответствующего разъяснения в течение 1 рабочего дня, следующего за днем поступления указанного запроса, но не позднее 1 рабочего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дня до дня завершения подачи заявок.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Доступ к сформированному в системе «Электронный бюджет» разъяснению предоставляется всем участникам отбора.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20. На основании заявления, направленного посредством системы «Электронный бюджет», участник отбора вправе отозвать поданную заявку: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без доработки - в любое время до подписания протокола подведения итогов отбора;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на доработку - до окончания срока приема заявок, установленного объявлением о проведении отбора.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Отзыв заявки на доработку осуществляется путем формирования участником отбора в системе «Электронный бюджет» в электронной форме уведомления об отзыве заявки и последующего формирования новой заявки.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 случае отзыва заявки на доработку, заявка должна быть доработана и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представлена не позднее даты окончания приема заявок на участие в отборе.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Представление и рассмотрение такой заявки осуществляется в порядке, предусмотренном для представления и рассмотрения заявки, поданной впервые.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Департамент решения о возврате заявок на доработку не принимает.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21. Департамент осуществляет проверку участника отбора на предмет соответствия требованиям, установленным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настоящим Порядком, рассматривает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заявки и приложенные к ним документы на предмет их соответствия установленным в объявлении о проведении отбора требованиям исходя из очередности поступления заявок в течение 15 рабочих дней с даты окончания приема заявок.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22. Заявка признается соответствующей требованиям, указанным в объявлении о проведении отбора, если отсутствуют причины отклонения заявки, предусмотренные пунктом 23 настоящего Порядка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Решение о признании заявки соответствующей принимается Департаментом на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дату завершения проверки представленных участником отбора информации и документов, поданных в составе заявки.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23. Причинами отклонения заявки являются: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1) несоответствие участника отбора требованиям, установленным </w:t>
      </w:r>
      <w:hyperlink w:tooltip="12. Участник отбора на дату рассмотрения заявки и на дату заключения соглашения о предоставлении субсидии (далее - соглашение) должен соответствовать следующим требованиям:" w:anchor="P8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12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непредставление (представление не в полном объеме) документов, указанных в объявлении о проведении отбора, предусмотренных </w:t>
      </w:r>
      <w:hyperlink w:tooltip="14. Для участия в отборе участники отбора в срок, указанный в объявлении об отборе, в системе &quot;Электронный бюджет&quot; подают заявку, подписанную усиленной квалифицированной электронной подписью руководителя участника отбора или уполномоченного им лица, с приложен" w:anchor="P98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14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3) несоответствие представленных участником отбора заявки и (или) документов требованиям, установленным в объявлении о проведении отбора, предусмотренных настоящим Порядком;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недостоверность информации, содержащейся в документах, представленных участником отбора, в целях подтверждения соответствия установленным настоящим Порядком требованиям;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5) подача участником отбора заявки после даты и (или) времени, определенных для подачи заявок;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6) несоответствие участника отбора категории получателя субсидии, предусмотренной </w:t>
      </w:r>
      <w:hyperlink w:tooltip="13. Категориями получателей субсидии являются сельскохозяйственные товаропроизводители, за исключением граждан, ведущих личное подсобное хозяйство." w:anchor="P9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24. По результатам рассмотрения заявок в течение 2 рабочих дней, следующих за днем окончания срока, предусмотренного </w:t>
      </w:r>
      <w:hyperlink w:tooltip="21. Департамент осуществляет проверку участника отбора на предмет соответствия требованиям, установленным настоящим Порядком, рассматривает заявки и приложенные к ним документы на предмет их соответствия установленным в объявлении о проведении отбора требовани" w:anchor="P139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21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подготавливается протокол подведения итогов отбора, включаю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щий информацию о количестве поступивших и рассмотренных заявок, а также информацию по каждому участнику отбора о признании заявки соответствующей требованиям об объявлении отбора либо об отклонении заявки с указанием причин для отклонения, предусмотренных </w:t>
      </w:r>
      <w:hyperlink w:tooltip="23. Причинами отклонения заявки являются:" w:anchor="P14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23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25. Протокол подведения итогов отбора формируется на едином портале автоматически на основании результатов рассмотрен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ия заявок и подписывается в системе «Электронный бюджет» усиленной квалифицированной электронной подписью начальника Департамента или уполномоченного им лица, а также размещается на едином портале не позднее рабочего дня, следующего за днем его подписания.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Вне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сение изменений в протокол подведения итогов отбора осуществляется не поздн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ее 10 календарных дней со дня подписания первой версии протокола подведения итогов отбора путем формирования новых версий указанного протокола с указанием причин внесения изменений.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26. Отбор признается несостоявшимся в следующих случаях: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по окончании срока подачи заявок не подано ни одной заявки;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по результатам рассмотрения заявок отклонены все заявки.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Отбор, для участия в котором допущен только один участник отбора, признается состоявшимся.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8"/>
        <w:jc w:val="center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3. Условия и порядок предоставления субсидии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27. Условиями предоставления субсидии являются: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1) соответствие получателя субсидии на даты рассмотрения заявки и заключения соглашения требованиям, указанным в </w:t>
      </w:r>
      <w:hyperlink w:tooltip="12. Участник отбора на дату рассмотрения заявки и на дату заключения соглашения о предоставлении субсидии (далее - соглашение) должен соответствовать следующим требованиям:" w:anchor="P8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пункте 12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соответствие получателя субсидии на дату рассмотрения заявки категориям получателей субсидии, предусмотренным </w:t>
      </w:r>
      <w:hyperlink w:tooltip="13. Категориями получателей субсидии являются сельскохозяйственные товаропроизводители, за исключением граждан, ведущих личное подсобное хозяйство." w:anchor="P97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13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3) согласие получателя субсидии на осуществление в отношении его Департаментом проверок соблюдения получателем субсидии условий и порядка предоставления субсидии, в том числе в части достижения результата предоставления субсидии, а также проверок органами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государственного финансового контроля в соответствии со статьями 268.1 и 269.2 Бюджетного кодекса Российской Федерации, а также включение таких положений в соглашение;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запрет приобретения получателями су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бсидий – индивидуальными предприним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ателями,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средств иностранной валюты, за исключением операций, осуществляемых в соответствии с валют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ным законодательством Российской Федерации при закупке (поставке) высокотехнологичного импортного оборудования, сырья и комплектующих изделий,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 также связанных с достижением целей предоставления этих средств иных операций, определенных настоящим Порядком;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5) обязательство предоставления молодому специалисту выплаты на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обустройство и хозяйственное обзаведение в сроки, предусмотренные соглашением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(за исключением случаев, когда получателем субсидии является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глава крестьянского (фермерского) хозяйства,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индивидуальный предприниматель или председатель сельскохозяйственного потребительского кооператива, выступающий в качестве молодого специалиста)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6) наличие трудового договора между участником отбора и молодым специалистом, заключенного в соответствии Трудовым кодексом Российской Федерации.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Данное требование не применяется, если молодым специалистом является участник отбора – глава крестьянского (фермерского) хозяйства или индивидуальный предприниматель.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Если молодым специалистом является участник отбора – председатель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сельскохозяйственного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потребительского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кооператива, вместо трудового договора представляется протокол общего собрания членов кооператива об его избрании;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7) предоставление выплаты на обустройство и хозяйственное обзаведение осуществляется молодому специалисту соответствующему следующим критериям: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а) по направлению, предусмотренному </w:t>
      </w:r>
      <w:hyperlink w:tooltip="1) выплата на обустройство и хозяйственное обзаведение молодому специалисту, который ранее не получал выплату на обустройство и хозяйственное обзаведение;" w:anchor="P21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возраст молодого специалиста на дату рассмотрения заявки не превышает 35 лет (включительно);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молодой специалист проживает в сельском или городском поселении Томской области;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трудоустройство молодого специалиста на условиях полного рабочего дня с режимом рабочего времени, установленного в соответствии со статьей 100 Трудового кодекса Российской Федерации,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за исключением случаев, когда молодым специалистом является участник отбора -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глава крестьянского (фермерского) хозяйства,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.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auto"/>
          <w:highlight w:val="none"/>
        </w:rPr>
      </w:pPr>
      <w:r>
        <w:rPr>
          <w:rFonts w:ascii="PT Astra Serif" w:hAnsi="PT Astra Serif" w:eastAsia="PT Astra Serif" w:cs="PT Astra Serif"/>
          <w:color w:val="auto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если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молодым специалистом является участник отбора – глава крестьянского (фермерского) хозяйства,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 указанное требование заменяется требованием о государственной регис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трации в установленном законом порядке и осуществлении непрерывной хозяйственной деятельности (исполнении обязанностей председателя кооператива) на территории Томской области</w:t>
      </w:r>
      <w:r>
        <w:rPr>
          <w:rFonts w:ascii="PT Astra Serif" w:hAnsi="PT Astra Serif" w:eastAsia="PT Astra Serif" w:cs="PT Astra Serif"/>
          <w:color w:val="auto"/>
          <w:sz w:val="26"/>
          <w:szCs w:val="26"/>
          <w:highlight w:val="none"/>
        </w:rPr>
        <w:t xml:space="preserve">;</w:t>
      </w:r>
      <w:r>
        <w:rPr>
          <w:rFonts w:ascii="PT Astra Serif" w:hAnsi="PT Astra Serif" w:cs="PT Astra Serif"/>
          <w:color w:val="auto"/>
          <w:highlight w:val="none"/>
        </w:rPr>
      </w:r>
      <w:r>
        <w:rPr>
          <w:rFonts w:ascii="PT Astra Serif" w:hAnsi="PT Astra Serif" w:cs="PT Astra Serif"/>
          <w:color w:val="auto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выплата на обустройство и хозяйственное обзаведение молодому специалисту получателем субсидии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ранее не предоставлялась;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молодой специалист имеет: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высшее или среднее профессиональное образование по профессиям, специальностям и (или) направлениям подготовки, соответствующим приоритетным направлениям развития сельскохозяйственного производства и агропромышленного комплекса Томской области, по </w:t>
      </w:r>
      <w:hyperlink w:tooltip="ПЕРЕЧЕНЬ" w:anchor="P36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перечню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согласно приложению № 3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 настоящему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или имеет дополнительное профессиональное образование по программам профессиональной переподготовки, соответствующим приоритетным направлениям развития сельскохозяйственного производства и агропромышленного комплекса Томской области, по </w:t>
      </w:r>
      <w:hyperlink w:tooltip="ПЕРЕЧЕНЬ" w:anchor="P36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перечню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согласно приложению № 3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или имеет высшее или среднее профессиональное образование и образование по программам профессионального обучения, соответствующим приоритетным направлениям развития сельскохозяйственного производства и агропромышленного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комплекса Томской области, по </w:t>
      </w:r>
      <w:hyperlink w:tooltip="ПЕРЕЧЕНЬ" w:anchor="P36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перечню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согласно приложению № 3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б) по направлению, предусмотренному </w:t>
      </w:r>
      <w:hyperlink w:tooltip="2) выплата на обустройство и хозяйственное обзаведение молодому специалисту, который ранее получал выплату на обустройство и хозяйственное обзаведение." w:anchor="P21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2)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возраст молодого специалиста на дату подачи заявления не превышает 40 лет (включительно);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молодой специалист проживает в сельском или городском поселении Томской области;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трудоустройство молодого специалиста на условиях полного рабочего дня с режимом рабоч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его времени, установленного в соответствии со статьей 100 Трудового кодекса Российской Федерации,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за исключением случаев, когда молодым специалистом является участник отбора -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глава крестьянского (фермерского) хозяйства,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если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молодым специалистом является участник отбора -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глава крестьянского (фермерского) хозяйства,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индивидуальный предприниматель или председатель сельскохозяйственного потребительского кооператива, указанное требование заменяется требованием о государственной регис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трации в установленном законом порядке и осуществлении непрерывной хозяйственной де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ятельности (исполнении обязанностей председателя кооператива) на территории Томской области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выплата на обустройство и хозяйственное обзаведение молодому специалисту ранее предоставлялась;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обязательство о сохранении трудовых отношений между сельскохозя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йственным товаропроизводителем и молодым специалистом исполнено сторонами в рамках соглашения о предоставлении выплаты на обустройство и хозяйственное обзаведение или договора о предоставлении социальной выплаты на обустройство и хозяйственное обзаведение;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молодой специалист имеет: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высшее или среднее профессиональное образование по профессиям, специальностям и (или) направлениям подготовки, соответствующим приоритетным направлениям развития сельскохозяйственного производства и агропромышленного комплекса Томской области, по </w:t>
      </w:r>
      <w:hyperlink w:tooltip="ПЕРЕЧЕНЬ" w:anchor="P36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перечню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согласно приложению № 3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или имеет дополнительное профессиональное образование по программам профессиональной переподготовки, соответствующим приоритетным направлениям развития сельскохозяйственного производства и агропромышленного комплекса Томской области, по </w:t>
      </w:r>
      <w:hyperlink w:tooltip="ПЕРЕЧЕНЬ" w:anchor="P36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перечню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согласно приложению № 3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или имеет высшее или среднее профессиональное образование и образование по программам профессионального обучения, соответствующим приоритетным направлениям развития сельскохозяйственного производства и агропромышленного комплекса Томской области, по </w:t>
      </w:r>
      <w:hyperlink w:tooltip="ПЕРЕЧЕНЬ" w:anchor="P36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перечню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согласно приложению № 3 к настоящему Порядку;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молодой специалист включен в перечень молодых специалистов, получивших выплату на обустройство и хозяйственное об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заведение в Департаменте по социально-экономическому развитию села Томской области в соответствии с постановлением Администрации Томской области от 01.07.2011 № 201а «О государственной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поддержке кадрового обеспечения агропромышленного комплекса Томской обл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асти», приказом Департамента по социально-экономическому развитию села Томской области от 27.08.2020 № 67 «О предоставлении субсидий на финансовое обеспечение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затрат на поддержку кадров агропромышленного комплекса», утвержденный распоряжением Департамента;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8) предоставлен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ие выплаты на обустройство и хозяйственное обзаведение не осуществляется молодому специалисту, когда он не выполняет свою трудовую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функцию, но за ним сохраняется его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должность.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Данное требование применяется к участникам отбора - 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лавам крестьянских (фермерских) хозяйств 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индивидуальным предпринимателям в виде запрета на получение выплаты в период фактического приостановления ими хозяйственной деятельности.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отношении участника отбора - председателя сельскохозяйственного потребительского кооператива выплата не предоставляется в случае приостановления или временного прекращения его полномочий как руководителя в соответствии с уставом кооператива;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9) обязательство сохранения трудовых отношений межд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у получателем субсидии и молодым специалистом: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а) по направлению, предусмотренному </w:t>
      </w:r>
      <w:hyperlink w:tooltip="1) выплата на обустройство и хозяйственное обзаведение молодому специалисту, который ранее не получал выплату на обустройство и хозяйственное обзаведение;" w:anchor="P21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1) пункта 30</w:t>
        </w:r>
      </w:hyperlink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сроком не менее пяти лет со дня получения молодым специали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стом выплаты на обустройство и хозяйственное обзаведение, за исключением случаев прекращения трудового договора по обстоятельствам, не зависящим от воли сторон, предусмотренных пунктами 1), 2), 5) - 7), 11) статьи 83 Трудового кодекса Российской Федерации.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если молодым специалистом является участник отбора -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глава крестьянского (фермерского) хозяйства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или индивидуальный предприниматель, данное требование приравнивается к обязательству непрерывного ведения хозяйственной деятельности в указанном правовом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статусе на территории Томской области в течение пяти лет.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случае если молодым специалистом является участник отбора - председатель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сельскохозяйственного потребительского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кооператива, данное требование означает обязательство непрерывного исполнения обязанностей председателя кооператива в течение пяти лет (за исключением случаев досрочного прекращения полном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очий по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обстоятельствам, не зависящим от воли сторон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б) по направлению, предусмотренному </w:t>
      </w:r>
      <w:hyperlink w:tooltip="2) выплата на обустройство и хозяйственное обзаведение молодому специалисту, который ранее получал выплату на обустройство и хозяйственное обзаведение." w:anchor="P21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2) пункта 30</w:t>
        </w:r>
      </w:hyperlink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сроком не менее трех лет со дня получения молодым специали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стом выплаты на обустройство и хозяйственное обзаведение, за исключением случаев прекращения трудового договора по обстоятельствам, не зависящим от воли сторон, предусмотренных пунктами 1), 2), 5) - 7), 11) статьи 83 Трудового кодекса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Российской Федерации;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если молодым специалистом является участник отбора -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глава крестьянского (фермерского) хозяйства или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индивидуальный предприниматель, данное требование приравнивается к обязательству непрерывного ведения хозяйственной деятельности в указанном правовом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статусе на территории Томской области в течение трех лет.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случае если молодым специалистом является участник отбора - председатель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сельскохозяйственного потребительского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кооператива, данное требование означает обязательство непрерывного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исполнения обязанностей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председателя кооператива в течение трех лет (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за исключением случаев досрочного прекращения полном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очий по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обстоятельствам, не зависящим от воли сторон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10) наличие соглашения о предоставлении выплаты на обустройство и хозяйственное обзаведение между получателем субсидии и молодым специалистом, содержащего следующие условия: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а) предоставление молодому специалисту должности, соответствующей трудовому договору на момент предоставления субсидии или должности, соответствующей уровню образования молодого специалиста;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б)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сохранение уровня заработной платы, установленного трудовым договором в соответствии с действующей у получателя субсидии системой оплаты труда, не ниже установленного федеральным законом минимального размера оплаты труда (с учетом районного коэффициента);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в) использование молодым специалистом выплаты на обустройство и хозяйственное обзаведение в течение 6 месяцев со дня ее получения;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г) использование молодым специалистом выплаты на обустройство и хозяйственное обзаведение на месте проживания молодого специалиста;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д) приобретение молодым специалистом товаров на обустройство и хозяйственное обзаведение, стоимость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единицы каждого из которых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составляет                от 1 тысячи рублей и выше.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обязанность молодого специалиста в течение 5 рабочих дней информировать получателя субсидии в случае, если приобретенные товары пришли в негодность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вследствие физического износа, поломки, аварии, стихийного бедствия или иных обстоятельств, исключающих 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х дальнейшее использование по назначению)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до истечения установленного подпунктом 9) пункта 27 настоящего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Порядка срока трудовых отношений, для последующ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его обращения получателя субсидии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Департамент с целью проведения внеплановой проверки, составления соответствующего акта и подтверждения возможности списания данных товаров.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случае если выплата предоставлена участнику отбора -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главе крестьянского (фермерского) хозяйства,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индивидуальному предпринимателю или председателю сельскохозяйственного потребительского кооператива как молодому специалисту, указанные лица при наступлении аналогичных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обстоятельств обращаются напрямую в Департамент с письменным заявлением в течение 5 рабочих дней со дня их выявления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ж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 предоставление получателю субсидии молодым специалистом </w:t>
      </w:r>
      <w:hyperlink w:tooltip="Отчет" w:anchor="P42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отчета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об использовании выплаты на обустройство и хозяйственное обзаведение по форме согласно приложению № 4 к настоящему Порядку в течение 7 месяцев со дня ее получения;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trike w:val="0"/>
          <w:color w:val="000000" w:themeColor="text1"/>
          <w:sz w:val="26"/>
          <w:szCs w:val="26"/>
          <w:highlight w:val="none"/>
        </w:rPr>
        <w:t xml:space="preserve">з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 обязательство молодого специалиста вернуть выплату на обустройство и хозяйственное обзаведение в случае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прекращения трудовых отношений по инициативе молодого специалиста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полном объеме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 направлению, предусмотренному </w:t>
      </w:r>
      <w:hyperlink w:tooltip="1) выплата на обустройство и хозяйственное обзаведение молодому специалисту, который ранее не получал выплату на обустройство и хозяйственное обзаведение;" w:anchor="P21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до истечения пятилетнего срока со дня получения молодым специалистом выплаты на обустройство и хозяйственное обзаведение;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 направлению, предусмотренному </w:t>
      </w:r>
      <w:hyperlink w:tooltip="2) выплата на обустройство и хозяйственное обзаведение молодому специалисту, который ранее получал выплату на обустройство и хозяйственное обзаведение." w:anchor="P21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2)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до истечения трехлетнего срока со дня получения молодым специалистом выплаты на обустройство и хозяйственное обзаведение;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trike w:val="0"/>
          <w:sz w:val="26"/>
          <w:szCs w:val="26"/>
          <w:highlight w:val="none"/>
        </w:rPr>
        <w:t xml:space="preserve">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) порядок возврата молодым специалистом выплаты на обустройство и хозяйственное обзаведение в случае прекращения трудовых отношений по инициативе молодого специалиста;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к) 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бязательство указывать в договорах (соглашениях), заключаемых в целях исполнения обязательств по соглашению с иными лицами, являющимися поставщиками (исполнителями, подрядч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иками), информацию о том, что источником их финансового обеспечения являются средства субсидии, а также сведения о направлении таких средств на приобретение товаров, работ, услуг (в разрезе основных средств, нематериальных активов,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имущественных прав) и об объеме предоставляемых средств на указанные цели, с обязательным указанием наличия (от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сутствия) средств на уплату налога на добавленную стоимость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11) 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случае,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если молодым специалистом является участник отбора – глава крестьянского (фермерского) хозяйства, индивидуальный предприниматель или председатель сельскохозяйственного потребительского кооператива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требования подпункта 10 настоящего пункта о заключ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ении соглашения между получателем субсидии и молодым специалистом не применяются.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Указанные лица одновременно с заявкой предоставляют в Департамент гарантийное письмо, подписанное ими лично, содержащее следующие обязательства: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) осуществлять непрерывную хозяйственную деятельность в качестве индивидуального предпринимателя или главы крестьянского (фермерского) хозяйства либо непрерывно исполнять обязанности (быть) председателя сельскохозяйственного потребительского кооператива на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территории Томской области в установленные сроки: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 менее пяти лет со дня получения субсидии — по направлению, предусмотренному подпунктом 1) пункта 30 настоящего Порядка;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 менее трех лет со дня получения субсидии — по направлению, предусмотренному подпунктом 2) пункта 30 настоящего Порядка;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использовать выплату на обустройство и хозяйственное обзаведение на месте своего проживания (осуществления деятельности) в течение 6 месяцев со дня её получения;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3) приобретать на цели обустройства и хозяйственного обзаведения товары, стоимость единицы каждого из которых составляет от 1 тысячи рублей и выше;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предоставить в Департамент отчет об использовании выплаты по форме согласно приложению № 4 к настоящему Порядку в течение 8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месяцев со дня получения субсидии;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5) вернуть выплату в областной бюджет в полном объеме в случае прекращения хозяйственной деятельности или досрочного сложения полномочий председателя кооператива по собственной инициативе до истечения установленного пятилетнего или трехлетнего срока;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6)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бязательство указывать в договорах (соглашениях), заключаемых в целях исполнения обязательств по соглашению с иными лицами, являющимися поставщиками (исполнителями, подрядч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иками), информацию о том, что источником их финансового обеспечения являются средства субсидии, а также сведения о направлении таких средств на приобретение товаров, работ, услуг (в разрезе основных средств, нематериальных активов,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имущественных прав) и об объеме п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редоставляемых средств на указанные цели, с обязательным указанием наличия (отсутствия) средств на уплату налога на добавленную стоимость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12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) обязательство получателя субсидии: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а) уведомить Департамент о расторжении трудового договора с молодым специалистом в сроки, предусмотренные соглашением;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б) вернуть денежные средства в областной бюджет в размере предоставленной субсидии в течение 10 рабочих дней с даты получения от Департамента письменного уведомления об их возврате в случае расторжения трудового договора с молодым специалистом.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28. Основаниями для отказа в предоставлении субсидии являются: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1) несоответствие представленных получателем субсидии документов требованиям, определенным настоящим Порядком, или непредставление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(представление не в полном объеме) указанных документов;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установление факта недостоверности представленной получателем субсидии информац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ии.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29. Направлениями затрат, источником финансового обеспечения которых являетс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я субсидия, явля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ю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тся предоставление получателем субсидии молодым специалистам выплат на обустройство и хозяйственное обзаведение (за исключением приобретения вещей индивидуального пользования), в том числе на улучшение жилищных условий молодого специалиста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на территории его проживания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случаях, когда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молодым специалистом является участник отбора – глава крестьянского (фермерского) хозяйства, индивидуальный предприниматель или председатель сельскохозяйственного потребительского кооперати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направлением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затрат является непосредственное фин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ансовое обеспечение их собственных затрат на обустройство, хозяйственное обзаведение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за исключением приобретения вещей индивидуального пользования)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 улучшение жилищных условий на территории проживания.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30. Субсидии, источником финансового обеспечения являются средства областного бюджета, предоставляются по следующим направлениям: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1) выплата на обустройство и хозяйственное обзаведение молодому специалисту, который ранее не получал выплату на обустройство и хозяйственное обзаведение;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выплата на обустройство и хозяйственное обзаведение молодому специалисту, который ранее получал выплату на обустройство и хозяйственное обзаведение.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31. Размер субсидии по направлениям, предусмотренным </w:t>
      </w:r>
      <w:hyperlink w:tooltip="30. Субсидии, источником финансового обеспечения являются средства областного бюджета, предоставляются по следующим направлениям:" w:anchor="P211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пунктом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составляет 500 тысяч рублей.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32. Решение о предоставлении субсидии принимается путем подписания сводной справки-расчета предоставления субсидии по форме, утвержденной распоряжением Департамента.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течение 4 рабочих дней со дня подписания сводной справки-расчета предоставления субсидии Департамент направляет получателю субсидии проект соглашения.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Получатель субсидии не позднее 3 рабочих дней с даты получения проекта соглашения направляет в адрес Департамента подписанное соглашение.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неподписания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получателем субсидии соглашения в течение срока, предусмотренного абзацем третьем настоящего пункта, получатель субсидии считается уклонившимся от подписания соглашения.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глашение, дополнительное соглашение о внесении изменений в соглашение, в том числе дополнительное соглашение о расторжении соглашения заключаются в соответствии с типовой формой, установленной Департаментом финансов Томской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области (далее - типовая форма).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33. В соглашение включаются: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1) условие о согласии получателя субсидии на осуществление Департаментом и органами государственного финансового контроля проверок соблюдения получателем субсидии условий и порядка предоставления субсидии;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2) условия о включении в соглашение в случа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 уменьшения Департаменту как получателю бюджетных средств ранее доведенных лимитов, приводящего к невозможности предоставления субсидии в размере, определенном в соглашении, условия о согласовании новых условий соглашения или о расторжении соглашения при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недостижении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согласия по новым условиям;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3) обязательство получателя субсидии уведомлять Департамент о расторжении, изменении договоров, финансовое обеспечение затрат по которым осуществляется за 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чет средств субсидии;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критерии для молодого специалиста предусмотренные </w:t>
      </w:r>
      <w:hyperlink w:tooltip="7) предоставление выплаты на обустройство и хозяйственное обзаведение осуществляется молодому специалисту соответствующему следующим критериям:" w:anchor="P166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7) пункта 27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5) условие о сохранении трудовых отношений между получателем субсидии и молодым специалистом: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 направлению, предусмотренному </w:t>
      </w:r>
      <w:hyperlink w:tooltip="1) выплата на обустройство и хозяйственное обзаведение молодому специалисту, который ранее не получал выплату на обустройство и хозяйственное обзаведение;" w:anchor="P21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1)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сроком не менее пяти лет со дня получения молодым специали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стом выплаты на обустройство и хозяйственное обзаведение, за исключением случаев прекращения трудового договора по обстоятельствам, не зависящим от воли сторон, предусмотренных пунктами 1), 2), 5) - 7), 11) статьи 83 Трудового кодекса Российской Федерации;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 направлению, предусмотренному </w:t>
      </w:r>
      <w:hyperlink w:tooltip="2) выплата на обустройство и хозяйственное обзаведение молодому специалисту, который ранее получал выплату на обустройство и хозяйственное обзаведение." w:anchor="P213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подпунктом 2) пункта 30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сроком не менее трех лет со дня получения молодым специали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стом выплаты на обустройство и хозяйственное обзаведение, за исключением случаев прекращения трудового договора по обстоятельствам, не зависящим от воли сторон, предусмотренных пунктами 1), 2), 5) - 7), 11) статьи 83 Трудового кодекса Российской Федерации;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6) положения о возможности осуществления расходов, источником финансового обеспечения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которых является не использованный в отчетном финансовом году остаток субсидии при принятии Департаментом решения о наличии потребности в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указанных средствах.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7)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когда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молодым специалистом является участник отбора – глава крестьянского (фермерского) хозяйства, индивидуальный предприниматель или председатель сельскохозяйственного потребительского кооперати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- обязательство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 соблюдению условий гарантийног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 письма, предоставленного в соответствии с подпунктом 11)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пункта 27 настоящего Порядка, включая обязательства по целевому расходованию средств и соблюдению сроков ведения хозяйственной деятельности (замещения должности);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8)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бязательство указывать в договорах (соглашениях), заключаемых в целях исполнения обязательств по соглашению с иными лицами, являющимися поставщиками (исполнителями, подрядч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иками), информацию о том, что источником их финансового обеспечения являются средства субсидии, а также сведения о направлении таких средств на приобретение товаров, работ, услуг (в разрезе основных средств, нематериальных активов,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имущественных прав) и об объеме предоставляемых средств на указанные цели, с обязательным указанием наличия (отсутствия) средств на уплату налога на добавленную стоимость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34. Условиями заключения дополнительного соглашения о внесении изменений в соглашение являются: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1) изменение платежных реквизитов, наименования любой из сторон соглашения, техническая и (или) сч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етная ошибка. В этом случае дополнительное соглашение о внесении изменений в соглашение заключается по результатам рассмотрения полученного письменного уведомления любой из сторон соглашения в течение 5 рабочих дней с даты получения указанного уведомления;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2) уменьшение Департаменту как получателю бюджетных средств ранее доведенных лимитов, приводящее к невозможности предоставления субсидии в размере, определенном в соглашении. В этом случае Департамент направляе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т получателю субсидии письменное обращение с обоснованием необходимости заключения дополнительного соглашения вместе с проектом дополнительного соглашения, которое должно быть подписано получателем субсидии в течение 2 рабочих дней после дня его получения;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3) изменение значения показателя непосредственного результата мероприятия программы в течение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финансового года. В этом случае дополнительное соглашение к соглашению заключается по результатам рассмотрения полученного получателем субсидии письменного уведомления от Департамента в течение 10 календарных дней с даты принятия соответствующего решения;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изменение плана мероприятий. В этом случае д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ополнительное соглашение об утверждении плана мероприятий в новой редакции заключается по результатам рассмотрения полученного получателем субсидии письменного уведомления от Департамента в течение 5 рабочих дней с даты получения указанного уведомления.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Расторжение соглашения осуществляется по соглашению сторон соглашения или в одностороннем порядке.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Расторжение соглашения в одностороннем порядке осуществляется по требованию Департамента при условии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недостижения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согласия по новым условиям, указанным в </w:t>
      </w:r>
      <w:hyperlink w:tooltip="2) условия о включении в соглашение в случае уменьшения Департаменту как получателю бюджетных средств ранее доведенных лимитов, приводящего к невозможности предоставления субсидии в размере, определенном в соглашении, условия о согласовании новых условий согла" w:anchor="P22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подпункте 2) пункта 33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Порядка, в течение 5 дней со дня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недостижения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такого согласия.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При несогласии с предложенными изменениями получатель субсидии направляет в Департамент мотивированный отказ в течение 2 рабочих дней, следующих за днем получения обращения о внесении изменений в соглашение.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При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недостижении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согласия о заключении соглашения на новых условиях соглашение расторгается по требованию Департамента в течение 2 рабочих дней, следующих за днем окончания срока, необходимого для подписания дополнительного соглашения, предусмотренного </w:t>
      </w:r>
      <w:hyperlink w:tooltip="4) изменение плана мероприятий. В этом случае дополнительное соглашение об утверждении плана мероприятий в новой редакции заключается по результатам рассмотрения полученного получателем субсидии письменного уведомления от Департамента в течение пяти рабочих дн" w:anchor="P235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абзацем первым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подпункта, и (или) за днем получения отказа получателя субсидии от согласования новых условий соглашения;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5) реорганизация получателя субсидии, являющегося юридическим лицом, в форме слияния, присоединения или преобразования или прекращение деятельности получателя субсидии, являющегося индивидуальным предпринимателем, осуществляющим деятельность в качестве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главы крестьянского (фермерского) хозяйства в соответствии с абзацем вторым пункта 5 статьи 23 Граж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данского кодекса Российской Федерации, передающего свои права другому гражданину в соответствии со статьей 18 Федерального закона «О крестьянском (фермерском) хозяйстве». В этих случаях дополнительное соглашение о внесении изменений в соглашение в части пе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ремены лица в обязательстве с указанием в соглашении лица, являющегося правопреемником, заключается по результатам рассмотрения полученного письменного уведомления любой из сторон соглашения в течение 5 рабочих дней с даты получения указанного уведомления.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35. При реорганизации получателя субсидии, являющегося юридическим лицом, в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форме разделения, выделения, а также при ликвидации получателя субсидии, являющегося юридическим лицом, или прекращении деятельности получателя субсидии, являющегося индивидуальным предпринимателем (за исключением индивидуального предпринимателя, осуществл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расторгается с формированием уведомления о расторжении соглашения в односто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ной бюджет по результатам рассмотрения полученного письменного уведомления любой из сторон соглашения в течение 3 рабочих дней со дня,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когда Департаменту стало известно о факте реорганизации и (или) ликвидации, прекращении деятельности получателя субсидии.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36. Субсидии предоставляются в пределах бюджетных ассигнований, предусмотренных законом Томской области об областном бюджете на текущий финанс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овый год и плановый период.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Повторное предоставление субсидий в целях возмещения одних и тех же затрат не допускается.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trike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3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7.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Субсидии предоставляются в пределах бюджетных ассигнований и лимитов бюджетных обязательств, доведенных до Департамента на текущий финансовый год.</w:t>
      </w:r>
      <w:r>
        <w:rPr>
          <w:rFonts w:ascii="PT Astra Serif" w:hAnsi="PT Astra Serif" w:cs="PT Astra Serif"/>
          <w:strike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strike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случае невозможности предоставления субсидии в текущем финансовом году в связи с недостаточностью лимитов бюджетных обязательств, Департамент в течение 5 рабочих дней со дня принятия соответствующего решения направляет участнику отбора уведомление об отка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зе в предоставлении субсидии.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данном случае участник отбора имеет право подать заявку на участие в отборе в очередном финансовом году на общих основаниях в соответствии с настоящим Порядком.</w:t>
      </w:r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38. Результатом предоставления субсидии является количество молодых специалистов, привлеченных в сферу агропромышленного комплекса, человек.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Значение результата определяется соглашением.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39. Департамент перечисляет субсидию на расчетный счет, открытый получателю субсидии в кредитной организации, не позднее 10 рабочего дня, следующего за днем принятия решения о предоставлении субсидии.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40. Осуществлени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 расходов, источником финансового обеспечения которых являются не использованные в отчетном финансовом году остатки субсидии, и включение таких положений в соглашение возможно при принятии Департаментом решения о наличии потребности в указанных средствах.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При отсутствии потребности в указанных средствах возврат неиспользованного остатка субсидии в областной бюджет осуществляется получателем субсидии в срок не позднее 25 января года, следующего за отчетным по платежным реквизитам, указанным в соглашении.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8"/>
        <w:jc w:val="center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4. Требования к отчетности, к осуществлению контроля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8"/>
        <w:jc w:val="center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(мониторинга) за соблюдением условий и порядка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8"/>
        <w:jc w:val="center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предоставления субсидии и ответственности за их нарушение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41. Получатель субсидии представляет в Департамент следующую отчетность: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1) ежеквартально,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не позднее 10 числа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 следующего за отчетным кварталом, и не позднее 1 марта года, следующего за годом получения субсидии, отчет о достижении значения результата предоставления субсидии по форме, определенной типовой формой;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2) ежеквартально, не позднее 20 числа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месяца, следующего за отчетным кварталом, отчет об осуществлении расходов, источником финансового обеспечения которых является субсидия, по форме, определенной типовой формой, с приложением копий документов, подтверждающих осуществление указанных расходов;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3) ежеквартально,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не позднее 5 рабоче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го дня месяца, следующего за отчетным периодом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 отчет о реализации плана мероприятий по достижению результатов предоставления субсидии по состоянию на 1 число месяца, следующего за отчетным периодом, формируемого в соответствии с приказом Министерства фина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нсов Российской Федерации от 27.04.2024 № 53н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учреждениям, индивидуал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ьны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 предпринимателям, физическим лицам - производителям товаров, работ, услуг» (до даты достижения конечного результата предоставления субсидии), а также не позднее 10 рабочего дня после достижения конечного значения результата предоставления субсидии;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Департамент осуществляет проверку отчетности в течение 20 рабочих дней со дня пост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упления. При отсутствии замечаний Департамент принимает отчетность. При наличии замечаний отчетность возвращается получателю субсидии на доработку в течение 2 рабочих дней, следующих за днем окончания проверки. Получатель субсидии устраняет замечания 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повторно представляет отчетность в Департамент в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срок не более 3 рабочих дней, следующих за днем получения замечаний. В случае выявления фактов нарушения условий предоставления субсидий Департамент принимает меры, предусмотренные </w:t>
      </w:r>
      <w:hyperlink w:tooltip="42. Департамент проверяет соблюдение получателем субсидии условий и порядка предоставления субсидий, в том числе в части достижения результата предоставления субсидии. Органы государственного финансового контроля осуществляют проверки в соответствии со статьям" w:anchor="P264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пунктами 42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</w:t>
      </w:r>
      <w:hyperlink w:tooltip="43. В случае нарушения получателем субсидии условий и порядка, установленных при предоставлении субсидии, выявленного, в том числе по фактам проверок, проведенных Департаментом и органами государственного финансового контроля, а также в случае недостижения зна" w:anchor="P265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43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Порядка;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4) в течение 8 месяцев со дня получения молодым специалистом выплаты на обустройство и хозяйственное обзаведение, копию </w:t>
      </w:r>
      <w:hyperlink w:tooltip="Отчет" w:anchor="P422" w:history="1">
        <w:r>
          <w:rPr>
            <w:rFonts w:ascii="PT Astra Serif" w:hAnsi="PT Astra Serif" w:eastAsia="PT Astra Serif" w:cs="PT Astra Serif"/>
            <w:color w:val="000000" w:themeColor="text1"/>
            <w:sz w:val="26"/>
            <w:szCs w:val="26"/>
            <w:highlight w:val="none"/>
          </w:rPr>
          <w:t xml:space="preserve">отчета</w:t>
        </w:r>
      </w:hyperlink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молодого специалиста об использовании выплаты на обустройство и хозяйственное обзаведение, по форме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согласно приложению № 4 к настоящему Порядку.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42. Департамент проверяет соблюдение получателем субсидии ус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ловий и порядка предоставления субсидий, в том числе в части достижения результата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предоставления субсидии. Органы государственного финансового контроля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осуществляют проверки в соответствии со статьями 268.1 и 269.2 Бюджетного кодекса Российской Федерации.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bookmarkEnd w:id="0"/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43. В случае нарушения получателем субсидии условий и порядка, установленных при предоставлении субсидии, выявленного, в том числе по результатам про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верок, проведенных Департаментом и органами государственного финансового контроля,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Департамент в течение 20 рабочих дней с даты выявления таких фактов направляет получателю субсидии письменное уведомление о возврате в областной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бюджет субсидии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объеме выявленных нарушений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ff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недостижения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значений резул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ьтатов предоставлен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ия субсидии                    на 31 декабря года предоставления субсидии, Департамент в течение 20 рабочих дней с даты выявления указанных фактов направляет получателю субсидии письменное уведомление о возврате в областной бюджет субсидии в полном объеме.</w:t>
      </w:r>
      <w:bookmarkStart w:id="0" w:name="undefined"/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</w:r>
      <w:bookmarkEnd w:id="0"/>
      <w:r>
        <w:rPr>
          <w:rFonts w:ascii="PT Astra Serif" w:hAnsi="PT Astra Serif" w:cs="PT Astra Serif"/>
          <w:color w:val="ff0000" w:themeColor="text1"/>
          <w:highlight w:val="none"/>
        </w:rPr>
      </w:r>
      <w:r>
        <w:rPr>
          <w:rFonts w:ascii="PT Astra Serif" w:hAnsi="PT Astra Serif" w:cs="PT Astra Serif"/>
          <w:color w:val="ff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течение 10 рабочих дней с даты получения уведомления получатель субсидии осуществляет возврат субсидии в областной бюджет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по платежным реквизитам, указанны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в уведомлении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размере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установленном абзац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ами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первым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или вторым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настоящего пункта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,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или направляет в адрес Департамента ответ с мотивированным отказом от возврата субсидии.</w:t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  <w:r>
        <w:rPr>
          <w:rFonts w:ascii="PT Astra Serif" w:hAnsi="PT Astra Serif" w:cs="PT Astra Serif"/>
          <w:color w:val="000000" w:themeColor="text1"/>
          <w:sz w:val="26"/>
          <w:szCs w:val="26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color w:val="000000" w:themeColor="text1"/>
          <w:highlight w:val="none"/>
        </w:rPr>
      </w:pP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 случае отказа получателя субсидии от добровольного возврата субсидии или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непоступления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средств 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color w:val="000000" w:themeColor="text1"/>
          <w:sz w:val="26"/>
          <w:szCs w:val="26"/>
          <w:highlight w:val="none"/>
        </w:rPr>
        <w:t xml:space="preserve"> областной бюджет в срок, установленный абзацем третьим настоящего пункта, бюджетные средства подлежат взысканию Департаментом в судебном порядке в течение 3 месяцев с даты получения Департаментом отказа от возврата субсидии или истечения указанного срока.</w:t>
      </w:r>
      <w:r>
        <w:rPr>
          <w:rFonts w:ascii="PT Astra Serif" w:hAnsi="PT Astra Serif" w:cs="PT Astra Serif"/>
          <w:color w:val="000000" w:themeColor="text1"/>
          <w:highlight w:val="none"/>
        </w:rPr>
      </w:r>
      <w:r>
        <w:rPr>
          <w:rFonts w:ascii="PT Astra Serif" w:hAnsi="PT Astra Serif" w:cs="PT Astra Serif"/>
          <w:color w:val="000000" w:themeColor="text1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случае получения Департаментом от получателя субсидии обращения, указанного в подпункте «е» подпункта 10 пункта 27 настоящего Порядка, Департамент в течение 10 рабочих дней со дня регистрации указанного обращения принимает решение о проведении внеплановой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выездной проверки по месту проживания молодого специалиста в целях установления достоверности фактов, изложенных в обращении.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По результатам осмотра специалистами Департамента с участием получателя субсидии и молодого специалиста составляется Акт обследования и подтверждения порчи (непригодности) товаров. Данный Акт является основанием для последующего согласования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Департаментом списания указанных товаров без применения к получателю субсидии мер ответственности, предусмотренных настоящим пунктом. В случае непредставления или несвоевременного представления заявления, меры по возврату субсидии принимаютс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я Департаментом в установленном порядке.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firstLine="540"/>
        <w:jc w:val="both"/>
        <w:spacing w:before="0" w:beforeAutospacing="0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44. Департамент проводит мониторинг достижения результатов предоставления субсидии, исходя из достижения значений результатов предоставления субсидии, определенных соглашением, и событий, отражающих ф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акт завершения соответствующего мероприятия по получению результата предоставления субсидии (контрольная точка), в порядке и по формам, установленным приказом Министерства финансов Российской Федерации от 27.04.2024 № 53н «Об утверждении Порядка проведения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услуг».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spacing w:before="0" w:beforeAutospacing="0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shd w:val="nil" w:color="000000"/>
        <w:rPr>
          <w:highlight w:val="none"/>
        </w:rPr>
        <w:outlineLvl w:val="1"/>
      </w:pPr>
      <w:r>
        <w:rPr>
          <w:highlight w:val="none"/>
        </w:rPr>
        <w:br w:type="page" w:clear="all"/>
      </w:r>
      <w:r>
        <w:rPr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Приложение № 1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 Порядку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предоставления субсидий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 финансовое обеспечение затрат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на поддержку кадров агропромышленного комплекса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839"/>
        <w:gridCol w:w="3231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0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Форма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bookmarkStart w:id="0" w:name="undefined"/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bookmarkEnd w:id="0"/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Справка-расчет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субсидии на финансовое обеспечение затрат на поддержку кадров агропромышленного комплекса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val="en-US"/>
              </w:rPr>
              <w:t xml:space="preserve">_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val="en-US"/>
              </w:rPr>
              <w:t xml:space="preserve">_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val="en-US"/>
              </w:rPr>
              <w:t xml:space="preserve">__________________________________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(наименование заявителя)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з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  <w:lang w:val="en-US"/>
              </w:rPr>
              <w:t xml:space="preserve">а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___________________ 20_____ г.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39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Идентификационный номер налогоплательщика получателя субсидии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231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39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Почтовый индекс и адрес получателя субсидий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231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39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Номер телефона получателя субсидии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231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839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Общероссийский классификатор территорий муниципальных образований по муниципальному образованию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231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pStyle w:val="944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488"/>
        <w:gridCol w:w="4876"/>
        <w:gridCol w:w="3685"/>
      </w:tblGrid>
      <w:tr>
        <w:tblPrEx/>
        <w:trPr/>
        <w:tc>
          <w:tcPr>
            <w:tcW w:w="488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876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Фамилия, имя, отчество (последнее - при наличии) молодого специалиста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Сумма субсидии (рублей, копеек)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488" w:type="dxa"/>
            <w:vAlign w:val="bottom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876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3685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pStyle w:val="944"/>
        <w:jc w:val="both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494"/>
        <w:gridCol w:w="1378"/>
        <w:gridCol w:w="454"/>
        <w:gridCol w:w="1303"/>
        <w:gridCol w:w="340"/>
        <w:gridCol w:w="306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Получатель субсидии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70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49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(подпись)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0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(фамилия, имя, отчество (последнее - при наличии)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26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Главный бухгалтер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получателя субсидии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(в случае отсутствия в штате должности главного бухгалтера - подпись лица, ведущего бухгалтерский учет, либо отметка «бухгалтерский учет ведется руководителем лично»)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303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06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326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03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(подпись)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0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06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(фамилия, имя, отчество (последнее - при наличии)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0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_____________ 20__ год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30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Место печати (при наличии)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Приложение № 2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 Порядку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предоставления субсидий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 финансовое обеспечение затрат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на поддержку кадров агропромышленного комплекса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55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Форма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7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bookmarkStart w:id="0" w:name="undefined"/>
            <w:r>
              <w:rPr>
                <w:rFonts w:ascii="PT Astra Serif" w:hAnsi="PT Astra Serif" w:eastAsia="PT Astra Serif" w:cs="PT Astra Serif"/>
                <w:highlight w:val="none"/>
              </w:rPr>
            </w:r>
            <w:bookmarkEnd w:id="0"/>
            <w:r>
              <w:rPr>
                <w:rFonts w:ascii="PT Astra Serif" w:hAnsi="PT Astra Serif" w:eastAsia="PT Astra Serif" w:cs="PT Astra Serif"/>
                <w:highlight w:val="none"/>
              </w:rPr>
              <w:t xml:space="preserve">Список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молодых специалистов </w:t>
            </w:r>
            <w:r>
              <w:rPr>
                <w:rFonts w:ascii="PT Astra Serif" w:hAnsi="PT Astra Serif" w:eastAsia="PT Astra Serif" w:cs="PT Astra Serif"/>
                <w:highlight w:val="none"/>
              </w:rPr>
              <w:t xml:space="preserve">на получение выплаты на обустройство и хозяйственное обзаведение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95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46"/>
        <w:gridCol w:w="1417"/>
        <w:gridCol w:w="1181"/>
        <w:gridCol w:w="1279"/>
        <w:gridCol w:w="2393"/>
        <w:gridCol w:w="1324"/>
        <w:gridCol w:w="1417"/>
      </w:tblGrid>
      <w:tr>
        <w:tblPrEx/>
        <w:trPr/>
        <w:tc>
          <w:tcPr>
            <w:tcW w:w="546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№ п/п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Фамилия, имя, отчество (последнее - при наличии) молодого специалиста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18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Дата рождения молодого специалиста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Место регистрации, фактического проживания молодого </w:t>
            </w:r>
            <w:r>
              <w:rPr>
                <w:rFonts w:ascii="PT Astra Serif" w:hAnsi="PT Astra Serif" w:eastAsia="PT Astra Serif" w:cs="PT Astra Serif"/>
                <w:highlight w:val="none"/>
              </w:rPr>
              <w:t xml:space="preserve">специалиста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Документ (№ и дата), подтверждающий ранее полученную выплату/ информация, подтверждающая ранее полученную выплату на обустройство и хозяйственное обзаведение молодым специалистом в Департаменте с указанием года получения выплаты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32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Контактный номер телефона молодого специалиста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Примечание*</w:t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</w:tr>
      <w:tr>
        <w:tblPrEx/>
        <w:trPr/>
        <w:tc>
          <w:tcPr>
            <w:tcW w:w="546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18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279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2393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32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eastAsia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eastAsia="PT Astra Serif" w:cs="PT Astra Serif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2705"/>
        <w:gridCol w:w="1378"/>
        <w:gridCol w:w="454"/>
        <w:gridCol w:w="50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05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Получатель субсидии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020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705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78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(подпись)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2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(фамилия, имя, отчество (последнее - при наличии)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_____________ 20__ год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</w:tr>
      <w:tr>
        <w:tblPrEx/>
        <w:trPr/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557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highlight w:val="none"/>
              </w:rPr>
            </w:pPr>
            <w:r>
              <w:rPr>
                <w:rFonts w:ascii="PT Astra Serif" w:hAnsi="PT Astra Serif" w:eastAsia="PT Astra Serif" w:cs="PT Astra Serif"/>
                <w:highlight w:val="none"/>
              </w:rPr>
              <w:t xml:space="preserve">Место печати (при наличии)</w:t>
            </w:r>
            <w:r>
              <w:rPr>
                <w:rFonts w:ascii="PT Astra Serif" w:hAnsi="PT Astra Serif" w:cs="PT Astra Serif"/>
                <w:highlight w:val="none"/>
              </w:rPr>
            </w:r>
            <w:r>
              <w:rPr>
                <w:rFonts w:ascii="PT Astra Serif" w:hAnsi="PT Astra Serif" w:cs="PT Astra Serif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rFonts w:ascii="PT Astra Serif" w:hAnsi="PT Astra Serif" w:cs="PT Astra Serif"/>
          <w:sz w:val="20"/>
          <w:szCs w:val="20"/>
          <w:highlight w:val="none"/>
        </w:rPr>
      </w:pPr>
      <w:r>
        <w:rPr>
          <w:rFonts w:ascii="PT Astra Serif" w:hAnsi="PT Astra Serif" w:eastAsia="PT Astra Serif" w:cs="PT Astra Serif"/>
          <w:sz w:val="20"/>
          <w:szCs w:val="20"/>
          <w:highlight w:val="none"/>
        </w:rPr>
        <w:t xml:space="preserve">*</w:t>
      </w:r>
      <w:r>
        <w:rPr>
          <w:rFonts w:ascii="PT Astra Serif" w:hAnsi="PT Astra Serif" w:eastAsia="PT Astra Serif" w:cs="PT Astra Serif"/>
          <w:sz w:val="20"/>
          <w:szCs w:val="20"/>
          <w:highlight w:val="none"/>
        </w:rPr>
        <w:t xml:space="preserve">В случае если молодым специалистом является г</w:t>
      </w:r>
      <w:r>
        <w:rPr>
          <w:rFonts w:ascii="PT Astra Serif" w:hAnsi="PT Astra Serif" w:eastAsia="PT Astra Serif" w:cs="PT Astra Serif"/>
          <w:sz w:val="20"/>
          <w:szCs w:val="20"/>
          <w:highlight w:val="none"/>
        </w:rPr>
        <w:t xml:space="preserve">лава крестьянского (фермерского) хозяйства, </w:t>
      </w:r>
      <w:r>
        <w:rPr>
          <w:rFonts w:ascii="PT Astra Serif" w:hAnsi="PT Astra Serif" w:eastAsia="PT Astra Serif" w:cs="PT Astra Serif"/>
          <w:sz w:val="20"/>
          <w:szCs w:val="20"/>
          <w:highlight w:val="none"/>
        </w:rPr>
        <w:t xml:space="preserve">индивидуальный предприниматель или председатель сельскохозяйственного потребительского кооператива, в графе указываются сведения о государственной регистрации</w:t>
      </w:r>
      <w:r>
        <w:rPr>
          <w:rFonts w:ascii="PT Astra Serif" w:hAnsi="PT Astra Serif" w:eastAsia="PT Astra Serif" w:cs="PT Astra Serif"/>
          <w:sz w:val="20"/>
          <w:szCs w:val="20"/>
          <w:highlight w:val="none"/>
        </w:rPr>
        <w:t xml:space="preserve"> (дата и номер записи в ЕГРИП/ЕГРЮЛ) либо реквизиты протокола об избрании председателя сельскохозяйственного потребительского кооператива)</w:t>
      </w:r>
      <w:r>
        <w:rPr>
          <w:rFonts w:ascii="PT Astra Serif" w:hAnsi="PT Astra Serif" w:cs="PT Astra Serif"/>
          <w:sz w:val="20"/>
          <w:szCs w:val="20"/>
          <w:highlight w:val="none"/>
        </w:rPr>
      </w:r>
      <w:r>
        <w:rPr>
          <w:rFonts w:ascii="PT Astra Serif" w:hAnsi="PT Astra Serif" w:cs="PT Astra Serif"/>
          <w:sz w:val="20"/>
          <w:szCs w:val="20"/>
          <w:highlight w:val="none"/>
        </w:rPr>
      </w:r>
    </w:p>
    <w:p>
      <w:pPr>
        <w:shd w:val="nil" w:color="000000"/>
        <w:rPr>
          <w:highlight w:val="none"/>
        </w:rPr>
        <w:outlineLvl w:val="1"/>
      </w:pPr>
      <w:r>
        <w:rPr>
          <w:highlight w:val="none"/>
        </w:rPr>
        <w:br w:type="page" w:clear="all"/>
      </w:r>
      <w:r>
        <w:rPr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Приложение № 3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 Порядку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предоставления субсидий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 финансовое обеспечение затрат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на поддержку кадров агропромышленного комплекса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8"/>
        <w:jc w:val="center"/>
        <w:rPr>
          <w:rFonts w:ascii="PT Astra Serif" w:hAnsi="PT Astra Serif" w:cs="PT Astra Serif"/>
          <w:highlight w:val="none"/>
        </w:rPr>
      </w:pPr>
      <w:r>
        <w:rPr>
          <w:rFonts w:ascii="PT Astra Serif" w:hAnsi="PT Astra Serif" w:eastAsia="PT Astra Serif" w:cs="PT Astra Serif"/>
          <w:highlight w:val="none"/>
        </w:rPr>
      </w:r>
      <w:bookmarkStart w:id="0" w:name="undefined"/>
      <w:r>
        <w:rPr>
          <w:rFonts w:ascii="PT Astra Serif" w:hAnsi="PT Astra Serif" w:eastAsia="PT Astra Serif" w:cs="PT Astra Serif"/>
          <w:highlight w:val="none"/>
        </w:rPr>
      </w:r>
      <w:bookmarkEnd w:id="0"/>
      <w:r>
        <w:rPr>
          <w:rFonts w:ascii="PT Astra Serif" w:hAnsi="PT Astra Serif" w:eastAsia="PT Astra Serif" w:cs="PT Astra Serif"/>
          <w:highlight w:val="none"/>
        </w:rPr>
        <w:t xml:space="preserve">ПЕРЕЧЕНЬ</w:t>
      </w:r>
      <w:r>
        <w:rPr>
          <w:rFonts w:ascii="PT Astra Serif" w:hAnsi="PT Astra Serif" w:cs="PT Astra Serif"/>
          <w:highlight w:val="none"/>
        </w:rPr>
      </w:r>
      <w:r>
        <w:rPr>
          <w:rFonts w:ascii="PT Astra Serif" w:hAnsi="PT Astra Serif" w:cs="PT Astra Serif"/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850"/>
        <w:gridCol w:w="8220"/>
      </w:tblGrid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№ п/п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Наименование профессии, специальности, направления подготовки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Мастер сельскохозяйственного производства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2.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Тракторист-машинист; тракторист-машинист сельскохозяйственного производства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3.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Мастер по техническому обслуживанию и ремонту машинно-тракторного парка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4.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Агрономия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5.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Механизация сельского хозяйства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6.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Эксплуатация и ремонт сельскохозяйственной техники и оборудования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7.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Агроинженерия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vMerge w:val="restart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8.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vMerge w:val="restart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Организация фермерского хозяйства</w:t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9.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Младший ветеринарный фельдшер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10.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Мастер животноводства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11.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Ветеринария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12.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Зоотехния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13.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Биология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14.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Почвоведение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15.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Электроснабжение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16.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Автомеханик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17.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Техническое обслуживание и ремонт автомобильного транспорта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18.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Автомобили и автомобильное хозяйство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19.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Слесарь-ремонтник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20.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Теплогазоснабжение и вентиляция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21.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Электромонтер по обслуживанию и ремонту электрооборудования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  <w:tr>
        <w:tblPrEx/>
        <w:trPr/>
        <w:tc>
          <w:tcPr>
            <w:tcW w:w="850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22.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  <w:tc>
          <w:tcPr>
            <w:tcW w:w="8220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2"/>
                <w:szCs w:val="22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2"/>
                <w:szCs w:val="22"/>
                <w:highlight w:val="none"/>
              </w:rPr>
              <w:t xml:space="preserve">Техническая эксплуатация и обслуживание электрического и электромеханического оборудования</w:t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  <w:r>
              <w:rPr>
                <w:rFonts w:ascii="PT Astra Serif" w:hAnsi="PT Astra Serif" w:cs="PT Astra Serif"/>
                <w:sz w:val="22"/>
                <w:szCs w:val="22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  <w:outlineLvl w:val="1"/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Приложение № 4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eastAsia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 Порядку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предоставления субсидий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 финансовое обеспечение затрат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</w:p>
    <w:p>
      <w:pPr>
        <w:pStyle w:val="944"/>
        <w:ind w:left="5953" w:right="0" w:firstLine="0"/>
        <w:jc w:val="left"/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на поддержку кадров агропромышленного комплекса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44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righ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907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44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Форма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bookmarkStart w:id="0" w:name="undefined"/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bookmarkEnd w:id="0"/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Отчет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об использовании выплаты на обустройство и хозяйственное обзаведение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Я, _________________________________________________________________,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(фамилия, имя, отчество (последнее - при наличии) молодого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специалиста, получившего выплату на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обустройство и хозяйственное обзаведение)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представляю отчет об использовании выплаты на обустройство и хозяйственное обзаведение в размере ______________________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_(</w:t>
            </w: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_____________) рублей, копеек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(сумма выплаты)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both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согласно Соглашению о предоставлении выплаты на обустройство и хозяйственное обзаведение от ________ 20__ года № ____, заключенному с ________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_________________________________________________________________________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(наименование сельскохозяйственного товаропроизводителя)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29"/>
        <w:gridCol w:w="2268"/>
        <w:gridCol w:w="1757"/>
        <w:gridCol w:w="4365"/>
      </w:tblGrid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Наименование товаров, работ, услуг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Сумма (рублей, копеек)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Наименование, дата и номер документа, подтверждающего приобретение и оплату товаров, выполнения работ, оказания услуг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629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2268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W w:w="4365" w:type="dxa"/>
            <w:vAlign w:val="center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tbl>
      <w:tblPr>
        <w:tblW w:w="0" w:type="auto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59"/>
        <w:gridCol w:w="344"/>
        <w:gridCol w:w="7168"/>
      </w:tblGrid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Прилагаю копии подтверждающих документов на сумму _________ рублей, копеек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на ____ л. в ____ экз.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7168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59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(подпись)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44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168" w:type="dxa"/>
            <w:textDirection w:val="lrTb"/>
            <w:noWrap w:val="false"/>
          </w:tcPr>
          <w:p>
            <w:pPr>
              <w:pStyle w:val="944"/>
              <w:jc w:val="center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(фамилия, имя, отчество (последнее - при наличии) молодого специалиста)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071" w:type="dxa"/>
            <w:textDirection w:val="lrTb"/>
            <w:noWrap w:val="false"/>
          </w:tcPr>
          <w:p>
            <w:pPr>
              <w:pStyle w:val="944"/>
              <w:rPr>
                <w:rFonts w:ascii="PT Astra Serif" w:hAnsi="PT Astra Serif" w:cs="PT Astra Serif"/>
                <w:sz w:val="24"/>
                <w:szCs w:val="24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4"/>
                <w:szCs w:val="24"/>
                <w:highlight w:val="none"/>
              </w:rPr>
              <w:t xml:space="preserve">________________ 20__ год</w:t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  <w:r>
              <w:rPr>
                <w:rFonts w:ascii="PT Astra Serif" w:hAnsi="PT Astra Serif" w:cs="PT Astra Serif"/>
                <w:sz w:val="24"/>
                <w:szCs w:val="24"/>
                <w:highlight w:val="none"/>
              </w:rPr>
            </w:r>
          </w:p>
        </w:tc>
      </w:tr>
    </w:tbl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</w:p>
    <w:p>
      <w:pPr>
        <w:pStyle w:val="944"/>
        <w:jc w:val="both"/>
        <w:spacing w:before="100" w:after="100"/>
        <w:rPr>
          <w:sz w:val="2"/>
          <w:szCs w:val="2"/>
          <w:highlight w:val="none"/>
        </w:rPr>
        <w:pBdr>
          <w:bottom w:val="single" w:color="000000" w:sz="6" w:space="0"/>
        </w:pBdr>
      </w:pP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  <w:r>
        <w:rPr>
          <w:sz w:val="2"/>
          <w:szCs w:val="2"/>
          <w:highlight w:val="none"/>
        </w:rPr>
      </w:r>
    </w:p>
    <w:p>
      <w:pPr>
        <w:jc w:val="both"/>
        <w:tabs>
          <w:tab w:val="left" w:pos="7088" w:leader="none"/>
        </w:tabs>
        <w:rPr>
          <w:rFonts w:ascii="PT Astra Serif" w:hAnsi="PT Astra Serif" w:eastAsia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</w:r>
    </w:p>
    <w:sectPr>
      <w:headerReference w:type="default" r:id="rId9"/>
      <w:headerReference w:type="first" r:id="rId10"/>
      <w:footnotePr/>
      <w:endnotePr/>
      <w:type w:val="continuous"/>
      <w:pgSz w:w="11907" w:h="16840" w:orient="portrait"/>
      <w:pgMar w:top="1134" w:right="851" w:bottom="1134" w:left="1418" w:header="737" w:footer="284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0"/>
      <w:spacing w:before="0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>
      <w:rPr>
        <w:rFonts w:ascii="PT Astra Serif" w:hAnsi="PT Astra Serif"/>
        <w:sz w:val="24"/>
        <w:szCs w:val="24"/>
      </w:rPr>
      <w:t xml:space="preserve">2</w:t>
    </w:r>
    <w:r>
      <w:rPr>
        <w:rFonts w:ascii="PT Astra Serif" w:hAnsi="PT Astra Serif"/>
        <w:sz w:val="24"/>
        <w:szCs w:val="24"/>
      </w:rPr>
      <w:fldChar w:fldCharType="end"/>
    </w:r>
    <w:r>
      <w:rPr>
        <w:rFonts w:ascii="PT Astra Serif" w:hAnsi="PT Astra Serif"/>
        <w:sz w:val="24"/>
        <w:szCs w:val="24"/>
      </w:rPr>
    </w:r>
    <w:r>
      <w:rPr>
        <w:rFonts w:ascii="PT Astra Serif" w:hAnsi="PT Astra Serif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120"/>
      <w:rPr>
        <w:rFonts w:ascii="PT Astra Serif" w:hAnsi="PT Astra Serif" w:eastAsia="PT Astra Serif" w:cs="PT Astra Serif"/>
        <w:b/>
        <w:sz w:val="12"/>
        <w:szCs w:val="12"/>
      </w:rPr>
    </w:pPr>
    <w:r>
      <w:rPr>
        <w:rFonts w:ascii="PT Astra Serif" w:hAnsi="PT Astra Serif" w:eastAsia="PT Astra Serif" w:cs="PT Astra Serif"/>
        <w:lang w:eastAsia="ru-RU" w:bidi="ar-SA"/>
      </w:rPr>
      <mc:AlternateContent>
        <mc:Choice Requires="wpg">
          <w:drawing>
            <wp:inline xmlns:wp="http://schemas.openxmlformats.org/drawingml/2006/wordprocessingDrawing" distT="0" distB="0" distL="0" distR="0">
              <wp:extent cx="676275" cy="619125"/>
              <wp:effectExtent l="0" t="0" r="9525" b="9525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Рисунок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76275" cy="619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53.25pt;height:48.75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PT Astra Serif" w:hAnsi="PT Astra Serif" w:eastAsia="PT Astra Serif" w:cs="PT Astra Serif"/>
        <w:b/>
        <w:sz w:val="12"/>
        <w:szCs w:val="12"/>
      </w:rPr>
    </w:r>
    <w:r>
      <w:rPr>
        <w:rFonts w:ascii="PT Astra Serif" w:hAnsi="PT Astra Serif" w:eastAsia="PT Astra Serif" w:cs="PT Astra Serif"/>
        <w:b/>
        <w:sz w:val="12"/>
        <w:szCs w:val="12"/>
      </w:rPr>
    </w:r>
  </w:p>
  <w:p>
    <w:pPr>
      <w:pStyle w:val="790"/>
      <w:spacing w:before="0" w:after="0" w:line="360" w:lineRule="exact"/>
      <w:rPr>
        <w:rFonts w:ascii="PT Astra Serif" w:hAnsi="PT Astra Serif" w:eastAsia="PT Astra Serif" w:cs="PT Astra Serif"/>
        <w:sz w:val="30"/>
        <w:szCs w:val="30"/>
      </w:rPr>
    </w:pPr>
    <w:r>
      <w:rPr>
        <w:rFonts w:ascii="PT Astra Serif" w:hAnsi="PT Astra Serif" w:eastAsia="PT Astra Serif" w:cs="PT Astra Serif"/>
        <w:sz w:val="30"/>
        <w:szCs w:val="30"/>
      </w:rPr>
      <w:t xml:space="preserve">Департамент по </w:t>
    </w:r>
    <w:r>
      <w:rPr>
        <w:rFonts w:ascii="PT Astra Serif" w:hAnsi="PT Astra Serif" w:eastAsia="PT Astra Serif" w:cs="PT Astra Serif"/>
        <w:sz w:val="30"/>
        <w:szCs w:val="30"/>
      </w:rPr>
      <w:t xml:space="preserve">социально-экономическому</w:t>
    </w:r>
    <w:r>
      <w:rPr>
        <w:rFonts w:ascii="PT Astra Serif" w:hAnsi="PT Astra Serif" w:eastAsia="PT Astra Serif" w:cs="PT Astra Serif"/>
        <w:sz w:val="30"/>
        <w:szCs w:val="30"/>
      </w:rPr>
    </w:r>
    <w:r>
      <w:rPr>
        <w:rFonts w:ascii="PT Astra Serif" w:hAnsi="PT Astra Serif" w:eastAsia="PT Astra Serif" w:cs="PT Astra Serif"/>
        <w:sz w:val="30"/>
        <w:szCs w:val="30"/>
      </w:rPr>
    </w:r>
  </w:p>
  <w:p>
    <w:pPr>
      <w:pStyle w:val="790"/>
      <w:spacing w:before="0" w:after="0" w:line="360" w:lineRule="exact"/>
      <w:rPr>
        <w:rFonts w:ascii="PT Astra Serif" w:hAnsi="PT Astra Serif" w:eastAsia="PT Astra Serif" w:cs="PT Astra Serif"/>
        <w:sz w:val="30"/>
        <w:szCs w:val="30"/>
      </w:rPr>
    </w:pPr>
    <w:r>
      <w:rPr>
        <w:rFonts w:ascii="PT Astra Serif" w:hAnsi="PT Astra Serif" w:eastAsia="PT Astra Serif" w:cs="PT Astra Serif"/>
        <w:sz w:val="30"/>
        <w:szCs w:val="30"/>
      </w:rPr>
      <w:t xml:space="preserve">развитию села Томской области</w:t>
    </w:r>
    <w:r>
      <w:rPr>
        <w:rFonts w:ascii="PT Astra Serif" w:hAnsi="PT Astra Serif" w:eastAsia="PT Astra Serif" w:cs="PT Astra Serif"/>
        <w:sz w:val="30"/>
        <w:szCs w:val="30"/>
      </w:rPr>
    </w:r>
    <w:r>
      <w:rPr>
        <w:rFonts w:ascii="PT Astra Serif" w:hAnsi="PT Astra Serif" w:eastAsia="PT Astra Serif" w:cs="PT Astra Serif"/>
        <w:sz w:val="30"/>
        <w:szCs w:val="30"/>
      </w:rPr>
    </w:r>
  </w:p>
  <w:p>
    <w:pPr>
      <w:pStyle w:val="790"/>
      <w:spacing w:before="240" w:after="0"/>
      <w:rPr>
        <w:rFonts w:ascii="PT Astra Serif" w:hAnsi="PT Astra Serif" w:eastAsia="PT Astra Serif" w:cs="PT Astra Serif"/>
        <w:szCs w:val="28"/>
      </w:rPr>
    </w:pPr>
    <w:r>
      <w:rPr>
        <w:rFonts w:ascii="PT Astra Serif" w:hAnsi="PT Astra Serif" w:eastAsia="PT Astra Serif" w:cs="PT Astra Serif"/>
        <w:szCs w:val="28"/>
      </w:rPr>
      <w:t xml:space="preserve">пРИКАЗ</w:t>
    </w:r>
    <w:r>
      <w:rPr>
        <w:rFonts w:ascii="PT Astra Serif" w:hAnsi="PT Astra Serif" w:eastAsia="PT Astra Serif" w:cs="PT Astra Serif"/>
        <w:szCs w:val="28"/>
      </w:rPr>
    </w:r>
    <w:r>
      <w:rPr>
        <w:rFonts w:ascii="PT Astra Serif" w:hAnsi="PT Astra Serif" w:eastAsia="PT Astra Serif" w:cs="PT Astra Serif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4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6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68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0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2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4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6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8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0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Endnote Text Char"/>
    <w:link w:val="767"/>
    <w:uiPriority w:val="99"/>
    <w:rPr>
      <w:sz w:val="20"/>
    </w:rPr>
  </w:style>
  <w:style w:type="paragraph" w:styleId="718" w:default="1">
    <w:name w:val="Normal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719">
    <w:name w:val="Heading 1"/>
    <w:link w:val="771"/>
    <w:uiPriority w:val="9"/>
    <w:qFormat/>
    <w:pPr>
      <w:keepLines/>
      <w:keepNext/>
      <w:spacing w:before="48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</w:pPr>
    <w:rPr>
      <w:rFonts w:ascii="Arial" w:hAnsi="Arial" w:eastAsia="Arial"/>
      <w:sz w:val="40"/>
      <w:szCs w:val="40"/>
    </w:rPr>
  </w:style>
  <w:style w:type="paragraph" w:styleId="720">
    <w:name w:val="Heading 2"/>
    <w:link w:val="772"/>
    <w:uiPriority w:val="9"/>
    <w:unhideWhenUsed/>
    <w:qFormat/>
    <w:pPr>
      <w:keepLines/>
      <w:keepNext/>
      <w:spacing w:before="36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</w:pPr>
    <w:rPr>
      <w:rFonts w:ascii="Arial" w:hAnsi="Arial" w:eastAsia="Arial"/>
      <w:sz w:val="34"/>
    </w:rPr>
  </w:style>
  <w:style w:type="paragraph" w:styleId="721">
    <w:name w:val="Heading 3"/>
    <w:link w:val="773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</w:pPr>
    <w:rPr>
      <w:rFonts w:ascii="Arial" w:hAnsi="Arial" w:eastAsia="Arial"/>
      <w:sz w:val="30"/>
      <w:szCs w:val="30"/>
    </w:rPr>
  </w:style>
  <w:style w:type="paragraph" w:styleId="722">
    <w:name w:val="Heading 4"/>
    <w:link w:val="774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</w:pPr>
    <w:rPr>
      <w:rFonts w:ascii="Arial" w:hAnsi="Arial" w:eastAsia="Arial"/>
      <w:b/>
      <w:bCs/>
      <w:sz w:val="26"/>
      <w:szCs w:val="26"/>
    </w:rPr>
  </w:style>
  <w:style w:type="paragraph" w:styleId="723">
    <w:name w:val="Heading 5"/>
    <w:link w:val="775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4"/>
    </w:pPr>
    <w:rPr>
      <w:rFonts w:ascii="Arial" w:hAnsi="Arial" w:eastAsia="Arial"/>
      <w:b/>
      <w:bCs/>
      <w:sz w:val="24"/>
      <w:szCs w:val="24"/>
    </w:rPr>
  </w:style>
  <w:style w:type="paragraph" w:styleId="724">
    <w:name w:val="Heading 6"/>
    <w:link w:val="776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</w:pPr>
    <w:rPr>
      <w:rFonts w:ascii="Arial" w:hAnsi="Arial" w:eastAsia="Arial"/>
      <w:b/>
      <w:bCs/>
      <w:sz w:val="22"/>
      <w:szCs w:val="22"/>
    </w:rPr>
  </w:style>
  <w:style w:type="paragraph" w:styleId="725">
    <w:name w:val="Heading 7"/>
    <w:link w:val="777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6"/>
    </w:pPr>
    <w:rPr>
      <w:rFonts w:ascii="Arial" w:hAnsi="Arial" w:eastAsia="Arial"/>
      <w:b/>
      <w:bCs/>
      <w:i/>
      <w:iCs/>
      <w:sz w:val="22"/>
      <w:szCs w:val="22"/>
    </w:rPr>
  </w:style>
  <w:style w:type="paragraph" w:styleId="726">
    <w:name w:val="Heading 8"/>
    <w:link w:val="778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</w:pPr>
    <w:rPr>
      <w:rFonts w:ascii="Arial" w:hAnsi="Arial" w:eastAsia="Arial"/>
      <w:i/>
      <w:iCs/>
      <w:sz w:val="22"/>
      <w:szCs w:val="22"/>
    </w:rPr>
  </w:style>
  <w:style w:type="paragraph" w:styleId="727">
    <w:name w:val="Heading 9"/>
    <w:link w:val="779"/>
    <w:uiPriority w:val="9"/>
    <w:unhideWhenUsed/>
    <w:qFormat/>
    <w:pPr>
      <w:keepLines/>
      <w:keepNext/>
      <w:spacing w:before="32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8"/>
    </w:pPr>
    <w:rPr>
      <w:rFonts w:ascii="Arial" w:hAnsi="Arial" w:eastAsia="Arial"/>
      <w:i/>
      <w:iCs/>
      <w:sz w:val="21"/>
      <w:szCs w:val="21"/>
    </w:rPr>
  </w:style>
  <w:style w:type="character" w:styleId="728" w:default="1">
    <w:name w:val="Default Paragraph Font"/>
    <w:uiPriority w:val="1"/>
    <w:semiHidden/>
    <w:unhideWhenUsed/>
  </w:style>
  <w:style w:type="table" w:styleId="7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0" w:default="1">
    <w:name w:val="No List"/>
    <w:uiPriority w:val="99"/>
    <w:semiHidden/>
    <w:unhideWhenUsed/>
  </w:style>
  <w:style w:type="character" w:styleId="731" w:customStyle="1">
    <w:name w:val="Heading 1 Char"/>
    <w:basedOn w:val="728"/>
    <w:uiPriority w:val="9"/>
    <w:rPr>
      <w:rFonts w:ascii="Arial" w:hAnsi="Arial" w:eastAsia="Arial" w:cs="Arial"/>
      <w:sz w:val="40"/>
      <w:szCs w:val="40"/>
    </w:rPr>
  </w:style>
  <w:style w:type="character" w:styleId="732" w:customStyle="1">
    <w:name w:val="Heading 2 Char"/>
    <w:basedOn w:val="728"/>
    <w:uiPriority w:val="9"/>
    <w:rPr>
      <w:rFonts w:ascii="Arial" w:hAnsi="Arial" w:eastAsia="Arial" w:cs="Arial"/>
      <w:sz w:val="34"/>
    </w:rPr>
  </w:style>
  <w:style w:type="character" w:styleId="733" w:customStyle="1">
    <w:name w:val="Heading 3 Char"/>
    <w:basedOn w:val="728"/>
    <w:uiPriority w:val="9"/>
    <w:rPr>
      <w:rFonts w:ascii="Arial" w:hAnsi="Arial" w:eastAsia="Arial" w:cs="Arial"/>
      <w:sz w:val="30"/>
      <w:szCs w:val="30"/>
    </w:rPr>
  </w:style>
  <w:style w:type="character" w:styleId="734" w:customStyle="1">
    <w:name w:val="Heading 4 Char"/>
    <w:basedOn w:val="728"/>
    <w:uiPriority w:val="9"/>
    <w:rPr>
      <w:rFonts w:ascii="Arial" w:hAnsi="Arial" w:eastAsia="Arial" w:cs="Arial"/>
      <w:b/>
      <w:bCs/>
      <w:sz w:val="26"/>
      <w:szCs w:val="26"/>
    </w:rPr>
  </w:style>
  <w:style w:type="character" w:styleId="735" w:customStyle="1">
    <w:name w:val="Heading 5 Char"/>
    <w:basedOn w:val="728"/>
    <w:uiPriority w:val="9"/>
    <w:rPr>
      <w:rFonts w:ascii="Arial" w:hAnsi="Arial" w:eastAsia="Arial" w:cs="Arial"/>
      <w:b/>
      <w:bCs/>
      <w:sz w:val="24"/>
      <w:szCs w:val="24"/>
    </w:rPr>
  </w:style>
  <w:style w:type="character" w:styleId="736" w:customStyle="1">
    <w:name w:val="Heading 6 Char"/>
    <w:basedOn w:val="728"/>
    <w:uiPriority w:val="9"/>
    <w:rPr>
      <w:rFonts w:ascii="Arial" w:hAnsi="Arial" w:eastAsia="Arial" w:cs="Arial"/>
      <w:b/>
      <w:bCs/>
      <w:sz w:val="22"/>
      <w:szCs w:val="22"/>
    </w:rPr>
  </w:style>
  <w:style w:type="character" w:styleId="737" w:customStyle="1">
    <w:name w:val="Heading 7 Char"/>
    <w:basedOn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8" w:customStyle="1">
    <w:name w:val="Heading 8 Char"/>
    <w:basedOn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39" w:customStyle="1">
    <w:name w:val="Heading 9 Char"/>
    <w:basedOn w:val="72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 w:customStyle="1">
    <w:name w:val="Title Char"/>
    <w:basedOn w:val="728"/>
    <w:uiPriority w:val="10"/>
    <w:rPr>
      <w:sz w:val="48"/>
      <w:szCs w:val="48"/>
    </w:rPr>
  </w:style>
  <w:style w:type="character" w:styleId="741" w:customStyle="1">
    <w:name w:val="Subtitle Char"/>
    <w:basedOn w:val="728"/>
    <w:uiPriority w:val="11"/>
    <w:rPr>
      <w:sz w:val="24"/>
      <w:szCs w:val="24"/>
    </w:rPr>
  </w:style>
  <w:style w:type="character" w:styleId="742" w:customStyle="1">
    <w:name w:val="Quote Char"/>
    <w:uiPriority w:val="29"/>
    <w:rPr>
      <w:i/>
    </w:rPr>
  </w:style>
  <w:style w:type="character" w:styleId="743" w:customStyle="1">
    <w:name w:val="Intense Quote Char"/>
    <w:uiPriority w:val="30"/>
    <w:rPr>
      <w:i/>
    </w:rPr>
  </w:style>
  <w:style w:type="character" w:styleId="744" w:customStyle="1">
    <w:name w:val="Header Char"/>
    <w:basedOn w:val="728"/>
    <w:uiPriority w:val="99"/>
  </w:style>
  <w:style w:type="character" w:styleId="745" w:customStyle="1">
    <w:name w:val="Footer Char"/>
    <w:basedOn w:val="728"/>
    <w:uiPriority w:val="99"/>
  </w:style>
  <w:style w:type="character" w:styleId="746" w:customStyle="1">
    <w:name w:val="Caption Char"/>
    <w:uiPriority w:val="35"/>
  </w:style>
  <w:style w:type="table" w:styleId="747" w:customStyle="1">
    <w:name w:val="Plain Table 1"/>
    <w:basedOn w:val="729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8" w:customStyle="1">
    <w:name w:val="Plain Table 2"/>
    <w:basedOn w:val="729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 w:customStyle="1">
    <w:name w:val="Plain Table 3"/>
    <w:basedOn w:val="72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0" w:customStyle="1">
    <w:name w:val="Plain Table 4"/>
    <w:basedOn w:val="72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Plain Table 5"/>
    <w:basedOn w:val="72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1 Light"/>
    <w:basedOn w:val="729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2"/>
    <w:basedOn w:val="72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"/>
    <w:basedOn w:val="729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4"/>
    <w:basedOn w:val="729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5 Dark"/>
    <w:basedOn w:val="729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auto"/>
      </w:tcPr>
    </w:tblStylePr>
    <w:tblStylePr w:type="band1Vert">
      <w:tcPr>
        <w:shd w:val="clear" w:color="8a8a8a" w:themeColor="text1" w:themeTint="75" w:fill="auto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auto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6 Colorful"/>
    <w:basedOn w:val="72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auto"/>
      </w:tcPr>
    </w:tblStylePr>
    <w:tblStylePr w:type="band1Vert"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8" w:customStyle="1">
    <w:name w:val="Grid Table 7 Colorful"/>
    <w:basedOn w:val="729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auto"/>
      </w:tcPr>
    </w:tblStylePr>
    <w:tblStylePr w:type="band1Vert"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List Table 1 Light"/>
    <w:basedOn w:val="729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List Table 2"/>
    <w:basedOn w:val="729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1" w:customStyle="1">
    <w:name w:val="List Table 3"/>
    <w:basedOn w:val="72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4"/>
    <w:basedOn w:val="729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auto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5 Dark"/>
    <w:basedOn w:val="72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auto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auto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auto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auto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4" w:customStyle="1">
    <w:name w:val="List Table 6 Colorful"/>
    <w:basedOn w:val="729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65" w:customStyle="1">
    <w:name w:val="List Table 7 Colorful"/>
    <w:basedOn w:val="729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auto"/>
      </w:tcPr>
    </w:tblStylePr>
    <w:tblStylePr w:type="band1Vert"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auto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66" w:customStyle="1">
    <w:name w:val="Footnote Text Char"/>
    <w:uiPriority w:val="99"/>
    <w:rPr>
      <w:sz w:val="18"/>
    </w:rPr>
  </w:style>
  <w:style w:type="paragraph" w:styleId="767">
    <w:name w:val="endnote text"/>
    <w:basedOn w:val="718"/>
    <w:link w:val="768"/>
    <w:uiPriority w:val="99"/>
    <w:semiHidden/>
    <w:unhideWhenUsed/>
    <w:rPr>
      <w:sz w:val="20"/>
    </w:rPr>
  </w:style>
  <w:style w:type="character" w:styleId="768" w:customStyle="1">
    <w:name w:val="Текст концевой сноски Знак"/>
    <w:link w:val="767"/>
    <w:uiPriority w:val="99"/>
    <w:rPr>
      <w:sz w:val="20"/>
    </w:rPr>
  </w:style>
  <w:style w:type="character" w:styleId="769">
    <w:name w:val="endnote reference"/>
    <w:basedOn w:val="728"/>
    <w:uiPriority w:val="99"/>
    <w:semiHidden/>
    <w:unhideWhenUsed/>
    <w:rPr>
      <w:vertAlign w:val="superscript"/>
    </w:rPr>
  </w:style>
  <w:style w:type="paragraph" w:styleId="770">
    <w:name w:val="table of figures"/>
    <w:basedOn w:val="718"/>
    <w:next w:val="718"/>
    <w:uiPriority w:val="99"/>
    <w:unhideWhenUsed/>
  </w:style>
  <w:style w:type="character" w:styleId="771" w:customStyle="1">
    <w:name w:val="Заголовок 1 Знак"/>
    <w:link w:val="719"/>
    <w:uiPriority w:val="9"/>
    <w:rPr>
      <w:rFonts w:ascii="Arial" w:hAnsi="Arial" w:eastAsia="Arial"/>
      <w:sz w:val="40"/>
      <w:szCs w:val="40"/>
      <w:lang w:bidi="ar-SA"/>
    </w:rPr>
  </w:style>
  <w:style w:type="character" w:styleId="772" w:customStyle="1">
    <w:name w:val="Заголовок 2 Знак"/>
    <w:link w:val="720"/>
    <w:uiPriority w:val="9"/>
    <w:rPr>
      <w:rFonts w:ascii="Arial" w:hAnsi="Arial" w:eastAsia="Arial"/>
      <w:sz w:val="34"/>
      <w:lang w:bidi="ar-SA"/>
    </w:rPr>
  </w:style>
  <w:style w:type="character" w:styleId="773" w:customStyle="1">
    <w:name w:val="Заголовок 3 Знак"/>
    <w:link w:val="721"/>
    <w:uiPriority w:val="9"/>
    <w:rPr>
      <w:rFonts w:ascii="Arial" w:hAnsi="Arial" w:eastAsia="Arial"/>
      <w:sz w:val="30"/>
      <w:szCs w:val="30"/>
      <w:lang w:bidi="ar-SA"/>
    </w:rPr>
  </w:style>
  <w:style w:type="character" w:styleId="774" w:customStyle="1">
    <w:name w:val="Заголовок 4 Знак"/>
    <w:link w:val="722"/>
    <w:uiPriority w:val="9"/>
    <w:rPr>
      <w:rFonts w:ascii="Arial" w:hAnsi="Arial" w:eastAsia="Arial"/>
      <w:b/>
      <w:bCs/>
      <w:sz w:val="26"/>
      <w:szCs w:val="26"/>
      <w:lang w:bidi="ar-SA"/>
    </w:rPr>
  </w:style>
  <w:style w:type="character" w:styleId="775" w:customStyle="1">
    <w:name w:val="Заголовок 5 Знак"/>
    <w:link w:val="723"/>
    <w:uiPriority w:val="9"/>
    <w:rPr>
      <w:rFonts w:ascii="Arial" w:hAnsi="Arial" w:eastAsia="Arial"/>
      <w:b/>
      <w:bCs/>
      <w:sz w:val="24"/>
      <w:szCs w:val="24"/>
      <w:lang w:bidi="ar-SA"/>
    </w:rPr>
  </w:style>
  <w:style w:type="character" w:styleId="776" w:customStyle="1">
    <w:name w:val="Заголовок 6 Знак"/>
    <w:link w:val="724"/>
    <w:uiPriority w:val="9"/>
    <w:rPr>
      <w:rFonts w:ascii="Arial" w:hAnsi="Arial" w:eastAsia="Arial"/>
      <w:b/>
      <w:bCs/>
      <w:sz w:val="22"/>
      <w:szCs w:val="22"/>
      <w:lang w:bidi="ar-SA"/>
    </w:rPr>
  </w:style>
  <w:style w:type="character" w:styleId="777" w:customStyle="1">
    <w:name w:val="Заголовок 7 Знак"/>
    <w:link w:val="725"/>
    <w:uiPriority w:val="9"/>
    <w:rPr>
      <w:rFonts w:ascii="Arial" w:hAnsi="Arial" w:eastAsia="Arial"/>
      <w:b/>
      <w:bCs/>
      <w:i/>
      <w:iCs/>
      <w:sz w:val="22"/>
      <w:szCs w:val="22"/>
      <w:lang w:bidi="ar-SA"/>
    </w:rPr>
  </w:style>
  <w:style w:type="character" w:styleId="778" w:customStyle="1">
    <w:name w:val="Заголовок 8 Знак"/>
    <w:link w:val="726"/>
    <w:uiPriority w:val="9"/>
    <w:rPr>
      <w:rFonts w:ascii="Arial" w:hAnsi="Arial" w:eastAsia="Arial"/>
      <w:i/>
      <w:iCs/>
      <w:sz w:val="22"/>
      <w:szCs w:val="22"/>
      <w:lang w:bidi="ar-SA"/>
    </w:rPr>
  </w:style>
  <w:style w:type="character" w:styleId="779" w:customStyle="1">
    <w:name w:val="Заголовок 9 Знак"/>
    <w:link w:val="727"/>
    <w:uiPriority w:val="9"/>
    <w:rPr>
      <w:rFonts w:ascii="Arial" w:hAnsi="Arial" w:eastAsia="Arial"/>
      <w:i/>
      <w:iCs/>
      <w:sz w:val="21"/>
      <w:szCs w:val="21"/>
      <w:lang w:bidi="ar-SA"/>
    </w:rPr>
  </w:style>
  <w:style w:type="paragraph" w:styleId="780">
    <w:name w:val="List Paragraph"/>
    <w:uiPriority w:val="34"/>
    <w:qFormat/>
    <w:pPr>
      <w:contextualSpacing/>
      <w:ind w:lef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781">
    <w:name w:val="No Spacing"/>
    <w:uiPriority w:val="1"/>
    <w:qFormat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782">
    <w:name w:val="Title"/>
    <w:link w:val="783"/>
    <w:uiPriority w:val="10"/>
    <w:qFormat/>
    <w:pPr>
      <w:contextualSpacing/>
      <w:spacing w:before="3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48"/>
      <w:szCs w:val="48"/>
    </w:rPr>
  </w:style>
  <w:style w:type="character" w:styleId="783" w:customStyle="1">
    <w:name w:val="Название Знак"/>
    <w:link w:val="782"/>
    <w:uiPriority w:val="10"/>
    <w:rPr>
      <w:sz w:val="48"/>
      <w:szCs w:val="48"/>
      <w:lang w:bidi="ar-SA"/>
    </w:rPr>
  </w:style>
  <w:style w:type="paragraph" w:styleId="784">
    <w:name w:val="Subtitle"/>
    <w:link w:val="785"/>
    <w:uiPriority w:val="11"/>
    <w:qFormat/>
    <w:pPr>
      <w:spacing w:before="200" w:after="20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785" w:customStyle="1">
    <w:name w:val="Подзаголовок Знак"/>
    <w:link w:val="784"/>
    <w:uiPriority w:val="11"/>
    <w:rPr>
      <w:sz w:val="24"/>
      <w:szCs w:val="24"/>
      <w:lang w:bidi="ar-SA"/>
    </w:rPr>
  </w:style>
  <w:style w:type="paragraph" w:styleId="786">
    <w:name w:val="Quote"/>
    <w:link w:val="787"/>
    <w:uiPriority w:val="29"/>
    <w:qFormat/>
    <w:pPr>
      <w:ind w:left="720" w:right="72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i/>
    </w:rPr>
  </w:style>
  <w:style w:type="character" w:styleId="787" w:customStyle="1">
    <w:name w:val="Цитата 2 Знак"/>
    <w:link w:val="786"/>
    <w:uiPriority w:val="29"/>
    <w:rPr>
      <w:i/>
      <w:lang w:val="ru-RU" w:eastAsia="ru-RU" w:bidi="ar-SA"/>
    </w:rPr>
  </w:style>
  <w:style w:type="paragraph" w:styleId="788">
    <w:name w:val="Intense Quote"/>
    <w:link w:val="78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  <w:between w:val="none" w:color="000000" w:sz="4" w:space="0"/>
      </w:pBdr>
    </w:pPr>
    <w:rPr>
      <w:i/>
    </w:rPr>
  </w:style>
  <w:style w:type="character" w:styleId="789" w:customStyle="1">
    <w:name w:val="Выделенная цитата Знак"/>
    <w:link w:val="788"/>
    <w:uiPriority w:val="30"/>
    <w:rPr>
      <w:i/>
      <w:shd w:val="clear" w:color="auto" w:fill="f2f2f2"/>
      <w:lang w:val="ru-RU" w:eastAsia="ru-RU" w:bidi="ar-SA"/>
    </w:rPr>
  </w:style>
  <w:style w:type="paragraph" w:styleId="790">
    <w:name w:val="Header"/>
    <w:basedOn w:val="718"/>
    <w:link w:val="791"/>
    <w:uiPriority w:val="99"/>
    <w:pPr>
      <w:jc w:val="center"/>
      <w:spacing w:before="120" w:after="240"/>
      <w:tabs>
        <w:tab w:val="center" w:pos="4153" w:leader="none"/>
        <w:tab w:val="right" w:pos="8306" w:leader="none"/>
      </w:tabs>
    </w:pPr>
    <w:rPr>
      <w:b/>
      <w:caps/>
      <w:sz w:val="28"/>
    </w:rPr>
  </w:style>
  <w:style w:type="character" w:styleId="791" w:customStyle="1">
    <w:name w:val="Верхний колонтитул Знак"/>
    <w:link w:val="790"/>
    <w:uiPriority w:val="99"/>
  </w:style>
  <w:style w:type="paragraph" w:styleId="792">
    <w:name w:val="Footer"/>
    <w:basedOn w:val="718"/>
    <w:link w:val="793"/>
    <w:uiPriority w:val="99"/>
    <w:pPr>
      <w:tabs>
        <w:tab w:val="center" w:pos="4153" w:leader="none"/>
        <w:tab w:val="right" w:pos="8306" w:leader="none"/>
      </w:tabs>
    </w:pPr>
  </w:style>
  <w:style w:type="character" w:styleId="793" w:customStyle="1">
    <w:name w:val="Нижний колонтитул Знак"/>
    <w:link w:val="792"/>
    <w:uiPriority w:val="99"/>
  </w:style>
  <w:style w:type="table" w:styleId="794">
    <w:name w:val="Table Grid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5" w:customStyle="1">
    <w:name w:val="Table Grid Light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6" w:customStyle="1">
    <w:name w:val="Таблица простая 1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7" w:customStyle="1">
    <w:name w:val="Таблица простая 2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8" w:customStyle="1">
    <w:name w:val="Таблица простая 3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Таблица простая 4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Таблица простая 5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Таблица-сетка 1 светл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Таблица-сетка 2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Таблица-сетка 3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Таблица-сетка 4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Grid Table 4 - Accent 1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Grid Table 4 - Accent 2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Grid Table 4 - Accent 3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Grid Table 4 - Accent 4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Grid Table 4 - Accent 5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Grid Table 4 - Accent 6"/>
    <w:uiPriority w:val="5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Таблица-сетка 5 тем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Grid Table 5 Dark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Grid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Grid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Grid Table 5 Dark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Grid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Grid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auto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Таблица-сетка 6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Grid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Grid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Grid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Grid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Grid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Grid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Таблица-сетка 7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Grid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Grid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Grid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Grid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Grid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Grid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Список-таблица 1 светл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1 Light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1 Light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1 Light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1 Light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1 Light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1 Light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Список-таблица 2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2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2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2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2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2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2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Список-таблица 3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3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3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3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3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3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3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Список-таблица 4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st Table 4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st Table 4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st Table 4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st Table 4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st Table 4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st Table 4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Список-таблица 5 тем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auto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List Table 5 Dark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auto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List Table 5 Dark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auto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List Table 5 Dark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auto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List Table 5 Dark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auto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List Table 5 Dark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auto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List Table 5 Dark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auto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Список-таблица 6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List Table 6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List Table 6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List Table 6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List Table 6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List Table 6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List Table 6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Список-таблица 7 цветная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3" w:customStyle="1">
    <w:name w:val="List Table 7 Colorful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4" w:customStyle="1">
    <w:name w:val="List Table 7 Colorful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5" w:customStyle="1">
    <w:name w:val="List Table 7 Colorful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6" w:customStyle="1">
    <w:name w:val="List Table 7 Colorful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7" w:customStyle="1">
    <w:name w:val="List Table 7 Colorful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8" w:customStyle="1">
    <w:name w:val="List Table 7 Colorful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9" w:customStyle="1">
    <w:name w:val="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0" w:customStyle="1">
    <w:name w:val="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1" w:customStyle="1">
    <w:name w:val="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2" w:customStyle="1">
    <w:name w:val="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3" w:customStyle="1">
    <w:name w:val="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4" w:customStyle="1">
    <w:name w:val="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5" w:customStyle="1">
    <w:name w:val="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906" w:customStyle="1">
    <w:name w:val="Bordered &amp; Lined - Accen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7" w:customStyle="1">
    <w:name w:val="Bordered &amp; Lin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8" w:customStyle="1">
    <w:name w:val="Bordered &amp; Lin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09" w:customStyle="1">
    <w:name w:val="Bordered &amp; Lin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0" w:customStyle="1">
    <w:name w:val="Bordered &amp; Lin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1" w:customStyle="1">
    <w:name w:val="Bordered &amp; Lin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2" w:customStyle="1">
    <w:name w:val="Bordered &amp; Lin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3" w:customStyle="1">
    <w:name w:val="Bordered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4" w:customStyle="1">
    <w:name w:val="Bordered - Accent 1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5" w:customStyle="1">
    <w:name w:val="Bordered - Accent 2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6" w:customStyle="1">
    <w:name w:val="Bordered - Accent 3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7" w:customStyle="1">
    <w:name w:val="Bordered - Accent 4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8" w:customStyle="1">
    <w:name w:val="Bordered - Accent 5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919" w:customStyle="1">
    <w:name w:val="Bordered - Accent 6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920">
    <w:name w:val="Hyperlink"/>
    <w:uiPriority w:val="99"/>
    <w:unhideWhenUsed/>
    <w:rPr>
      <w:color w:val="0000ff"/>
      <w:u w:val="single"/>
    </w:rPr>
  </w:style>
  <w:style w:type="paragraph" w:styleId="921">
    <w:name w:val="footnote text"/>
    <w:link w:val="922"/>
    <w:uiPriority w:val="99"/>
    <w:semiHidden/>
    <w:unhideWhenUsed/>
    <w:pPr>
      <w:spacing w:after="4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18"/>
    </w:rPr>
  </w:style>
  <w:style w:type="character" w:styleId="922" w:customStyle="1">
    <w:name w:val="Текст сноски Знак"/>
    <w:link w:val="921"/>
    <w:uiPriority w:val="99"/>
    <w:semiHidden/>
    <w:rPr>
      <w:sz w:val="18"/>
      <w:lang w:bidi="ar-SA"/>
    </w:rPr>
  </w:style>
  <w:style w:type="character" w:styleId="923">
    <w:name w:val="footnote reference"/>
    <w:uiPriority w:val="99"/>
    <w:unhideWhenUsed/>
    <w:rPr>
      <w:vertAlign w:val="superscript"/>
    </w:rPr>
  </w:style>
  <w:style w:type="paragraph" w:styleId="924">
    <w:name w:val="toc 1"/>
    <w:uiPriority w:val="39"/>
    <w:unhideWhenUsed/>
    <w:pPr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5">
    <w:name w:val="toc 2"/>
    <w:uiPriority w:val="39"/>
    <w:unhideWhenUsed/>
    <w:pPr>
      <w:ind w:left="283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6">
    <w:name w:val="toc 3"/>
    <w:uiPriority w:val="39"/>
    <w:unhideWhenUsed/>
    <w:pPr>
      <w:ind w:left="567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7">
    <w:name w:val="toc 4"/>
    <w:uiPriority w:val="39"/>
    <w:unhideWhenUsed/>
    <w:pPr>
      <w:ind w:left="850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8">
    <w:name w:val="toc 5"/>
    <w:uiPriority w:val="39"/>
    <w:unhideWhenUsed/>
    <w:pPr>
      <w:ind w:left="1134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29">
    <w:name w:val="toc 6"/>
    <w:uiPriority w:val="39"/>
    <w:unhideWhenUsed/>
    <w:pPr>
      <w:ind w:left="1417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30">
    <w:name w:val="toc 7"/>
    <w:uiPriority w:val="39"/>
    <w:unhideWhenUsed/>
    <w:pPr>
      <w:ind w:left="1701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31">
    <w:name w:val="toc 8"/>
    <w:uiPriority w:val="39"/>
    <w:unhideWhenUsed/>
    <w:pPr>
      <w:ind w:left="1984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32">
    <w:name w:val="toc 9"/>
    <w:uiPriority w:val="39"/>
    <w:unhideWhenUsed/>
    <w:pPr>
      <w:ind w:left="2268"/>
      <w:spacing w:after="57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33">
    <w:name w:val="TOC Heading"/>
    <w:uiPriority w:val="39"/>
    <w:unhideWhenUsed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2"/>
      <w:szCs w:val="22"/>
      <w:lang w:eastAsia="en-US" w:bidi="en-US"/>
    </w:rPr>
  </w:style>
  <w:style w:type="paragraph" w:styleId="934">
    <w:name w:val="Body Text"/>
    <w:basedOn w:val="718"/>
    <w:next w:val="718"/>
    <w:pPr>
      <w:jc w:val="both"/>
    </w:pPr>
  </w:style>
  <w:style w:type="character" w:styleId="935">
    <w:name w:val="page number"/>
    <w:basedOn w:val="728"/>
  </w:style>
  <w:style w:type="paragraph" w:styleId="936">
    <w:name w:val="Caption"/>
    <w:basedOn w:val="718"/>
    <w:next w:val="718"/>
    <w:link w:val="746"/>
    <w:uiPriority w:val="35"/>
    <w:pPr>
      <w:jc w:val="center"/>
    </w:pPr>
    <w:rPr>
      <w:b/>
      <w:sz w:val="28"/>
    </w:rPr>
  </w:style>
  <w:style w:type="paragraph" w:styleId="937">
    <w:name w:val="Body Text 2"/>
    <w:basedOn w:val="718"/>
    <w:pPr>
      <w:ind w:right="5102"/>
      <w:jc w:val="center"/>
      <w:spacing w:before="120"/>
    </w:pPr>
  </w:style>
  <w:style w:type="paragraph" w:styleId="938" w:customStyle="1">
    <w:name w:val="Обращение"/>
    <w:basedOn w:val="718"/>
    <w:next w:val="718"/>
    <w:pPr>
      <w:jc w:val="center"/>
      <w:spacing w:before="240" w:after="120"/>
    </w:pPr>
    <w:rPr>
      <w:b/>
    </w:rPr>
  </w:style>
  <w:style w:type="paragraph" w:styleId="939" w:customStyle="1">
    <w:name w:val="Адресные реквизиты"/>
    <w:basedOn w:val="934"/>
    <w:next w:val="934"/>
    <w:pPr>
      <w:jc w:val="left"/>
    </w:pPr>
    <w:rPr>
      <w:sz w:val="16"/>
    </w:rPr>
  </w:style>
  <w:style w:type="paragraph" w:styleId="940" w:customStyle="1">
    <w:name w:val="Адресат"/>
    <w:basedOn w:val="718"/>
    <w:pPr>
      <w:spacing w:before="120"/>
    </w:pPr>
    <w:rPr>
      <w:b/>
    </w:rPr>
  </w:style>
  <w:style w:type="paragraph" w:styleId="941">
    <w:name w:val="Body Text 3"/>
    <w:basedOn w:val="718"/>
    <w:pPr>
      <w:spacing w:before="120"/>
      <w:tabs>
        <w:tab w:val="left" w:pos="7371" w:leader="none"/>
      </w:tabs>
    </w:pPr>
    <w:rPr>
      <w:sz w:val="28"/>
    </w:rPr>
  </w:style>
  <w:style w:type="paragraph" w:styleId="942">
    <w:name w:val="Balloon Text"/>
    <w:basedOn w:val="718"/>
    <w:link w:val="943"/>
    <w:uiPriority w:val="99"/>
    <w:semiHidden/>
    <w:unhideWhenUsed/>
    <w:rPr>
      <w:rFonts w:ascii="Tahoma" w:hAnsi="Tahoma"/>
      <w:sz w:val="16"/>
      <w:szCs w:val="16"/>
      <w:lang w:bidi="ar-SA"/>
    </w:rPr>
  </w:style>
  <w:style w:type="character" w:styleId="943" w:customStyle="1">
    <w:name w:val="Текст выноски Знак"/>
    <w:link w:val="942"/>
    <w:uiPriority w:val="99"/>
    <w:semiHidden/>
    <w:rPr>
      <w:rFonts w:ascii="Tahoma" w:hAnsi="Tahoma" w:cs="Tahoma"/>
      <w:sz w:val="16"/>
      <w:szCs w:val="16"/>
    </w:rPr>
  </w:style>
  <w:style w:type="paragraph" w:styleId="944" w:customStyle="1">
    <w:name w:val="ConsPlusNormal"/>
    <w:pPr>
      <w:widowControl w:val="off"/>
    </w:pPr>
    <w:rPr>
      <w:rFonts w:ascii="Calibri" w:hAnsi="Calibri" w:cs="Calibri"/>
      <w:sz w:val="22"/>
    </w:rPr>
  </w:style>
  <w:style w:type="paragraph" w:styleId="945">
    <w:name w:val="Body Text Indent"/>
    <w:basedOn w:val="718"/>
    <w:link w:val="946"/>
    <w:uiPriority w:val="99"/>
    <w:semiHidden/>
    <w:unhideWhenUsed/>
    <w:pPr>
      <w:ind w:left="283"/>
      <w:spacing w:after="120"/>
    </w:pPr>
  </w:style>
  <w:style w:type="character" w:styleId="946" w:customStyle="1">
    <w:name w:val="Основной текст с отступом Знак"/>
    <w:link w:val="945"/>
    <w:uiPriority w:val="99"/>
    <w:semiHidden/>
    <w:rPr>
      <w:sz w:val="22"/>
      <w:szCs w:val="22"/>
      <w:lang w:eastAsia="en-US" w:bidi="en-US"/>
    </w:rPr>
  </w:style>
  <w:style w:type="paragraph" w:styleId="947">
    <w:name w:val="Normal (Web)"/>
    <w:basedOn w:val="718"/>
    <w:uiPriority w:val="99"/>
    <w:unhideWhenUsed/>
    <w:rPr>
      <w:sz w:val="24"/>
      <w:szCs w:val="24"/>
    </w:rPr>
  </w:style>
  <w:style w:type="paragraph" w:styleId="948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Relationship Id="rId12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2FBAEDA9-F627-4FBA-8C3B-D110520E8D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Р7-Офис/2026.2.2.2683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</dc:creator>
  <cp:lastModifiedBy>бта@depagro.local</cp:lastModifiedBy>
  <cp:revision>25</cp:revision>
  <dcterms:created xsi:type="dcterms:W3CDTF">2025-12-16T02:19:00Z</dcterms:created>
  <dcterms:modified xsi:type="dcterms:W3CDTF">2026-10-22T04:25:50Z</dcterms:modified>
</cp:coreProperties>
</file>