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11,5" w:hAnsi="11,5"/>
          <w:b/>
          <w:bCs/>
          <w:sz w:val="23"/>
          <w:szCs w:val="23"/>
        </w:rPr>
      </w:pPr>
      <w:r>
        <w:rPr>
          <w:rFonts w:ascii="11,5" w:hAnsi="11,5"/>
          <w:b/>
          <w:bCs/>
          <w:sz w:val="23"/>
          <w:szCs w:val="23"/>
        </w:rPr>
        <w:t xml:space="preserve">Сводка предложений</w:t>
      </w:r>
      <w:r>
        <w:rPr>
          <w:rFonts w:ascii="11,5" w:hAnsi="11,5"/>
          <w:b/>
          <w:bCs/>
          <w:sz w:val="23"/>
          <w:szCs w:val="23"/>
        </w:rPr>
      </w:r>
      <w:r>
        <w:rPr>
          <w:rFonts w:ascii="11,5" w:hAnsi="11,5"/>
          <w:b/>
          <w:bCs/>
          <w:sz w:val="23"/>
          <w:szCs w:val="23"/>
        </w:rPr>
      </w:r>
    </w:p>
    <w:p>
      <w:pPr>
        <w:jc w:val="center"/>
        <w:rPr>
          <w:rFonts w:ascii="11,5" w:hAnsi="11,5"/>
          <w:bCs/>
          <w:sz w:val="23"/>
          <w:szCs w:val="23"/>
        </w:rPr>
      </w:pPr>
      <w:r>
        <w:rPr>
          <w:rFonts w:ascii="11,5" w:hAnsi="11,5"/>
          <w:bCs/>
          <w:sz w:val="23"/>
          <w:szCs w:val="23"/>
        </w:rPr>
        <w:t xml:space="preserve">по </w:t>
      </w:r>
      <w:r>
        <w:rPr>
          <w:rFonts w:ascii="11,5" w:hAnsi="11,5"/>
          <w:bCs/>
          <w:sz w:val="23"/>
          <w:szCs w:val="23"/>
        </w:rPr>
        <w:t xml:space="preserve">приказ</w:t>
      </w:r>
      <w:r>
        <w:rPr>
          <w:rFonts w:ascii="11,5" w:hAnsi="11,5"/>
          <w:bCs/>
          <w:sz w:val="23"/>
          <w:szCs w:val="23"/>
        </w:rPr>
        <w:t xml:space="preserve">у</w:t>
      </w:r>
      <w:r>
        <w:rPr>
          <w:rFonts w:ascii="11,5" w:hAnsi="11,5"/>
          <w:bCs/>
          <w:sz w:val="23"/>
          <w:szCs w:val="23"/>
        </w:rPr>
        <w:t xml:space="preserve"> </w:t>
      </w:r>
      <w:r>
        <w:rPr>
          <w:rFonts w:ascii="11,5" w:hAnsi="11,5"/>
          <w:bCs/>
          <w:sz w:val="23"/>
          <w:szCs w:val="23"/>
        </w:rPr>
        <w:t xml:space="preserve">Д</w:t>
      </w:r>
      <w:r>
        <w:rPr>
          <w:rFonts w:ascii="11,5" w:hAnsi="11,5"/>
          <w:bCs/>
          <w:sz w:val="23"/>
          <w:szCs w:val="23"/>
        </w:rPr>
        <w:t xml:space="preserve">епартамента транспорта, дорожной деятельности и связи Томской области от 05.11.2024 № 47 «Об установлении порядка предоставления дубликата свидетельства об осуществлении перевозок по межмуниципальному маршруту регулярных перевозок и дубликата карты такого </w:t>
      </w:r>
      <w:r>
        <w:rPr>
          <w:rFonts w:ascii="11,5" w:hAnsi="11,5"/>
          <w:bCs/>
          <w:sz w:val="23"/>
          <w:szCs w:val="23"/>
        </w:rPr>
        <w:t xml:space="preserve">маршрута»</w:t>
      </w:r>
      <w:r>
        <w:rPr>
          <w:rFonts w:ascii="11,5" w:hAnsi="11,5"/>
          <w:bCs/>
          <w:sz w:val="23"/>
          <w:szCs w:val="23"/>
        </w:rPr>
      </w:r>
      <w:r>
        <w:rPr>
          <w:rFonts w:ascii="11,5" w:hAnsi="11,5"/>
          <w:bCs/>
          <w:sz w:val="23"/>
          <w:szCs w:val="23"/>
        </w:rPr>
      </w:r>
    </w:p>
    <w:p>
      <w:pPr>
        <w:rPr>
          <w:rFonts w:ascii="11,5" w:hAnsi="11,5"/>
          <w:b/>
          <w:bCs/>
          <w:sz w:val="23"/>
          <w:szCs w:val="23"/>
        </w:rPr>
      </w:pPr>
      <w:r>
        <w:rPr>
          <w:rFonts w:ascii="11,5" w:hAnsi="11,5"/>
          <w:b/>
          <w:bCs/>
          <w:sz w:val="23"/>
          <w:szCs w:val="23"/>
        </w:rPr>
      </w:r>
      <w:r>
        <w:rPr>
          <w:rFonts w:ascii="11,5" w:hAnsi="11,5"/>
          <w:b/>
          <w:bCs/>
          <w:sz w:val="23"/>
          <w:szCs w:val="23"/>
        </w:rPr>
      </w:r>
      <w:r>
        <w:rPr>
          <w:rFonts w:ascii="11,5" w:hAnsi="11,5"/>
          <w:b/>
          <w:bCs/>
          <w:sz w:val="23"/>
          <w:szCs w:val="23"/>
        </w:rPr>
      </w:r>
    </w:p>
    <w:p>
      <w:pPr>
        <w:ind w:firstLine="709"/>
        <w:jc w:val="both"/>
        <w:rPr>
          <w:rFonts w:ascii="11,5" w:hAnsi="11,5"/>
          <w:bCs/>
          <w:sz w:val="23"/>
          <w:szCs w:val="23"/>
        </w:rPr>
      </w:pPr>
      <w:r>
        <w:rPr>
          <w:rFonts w:ascii="11,5" w:hAnsi="11,5"/>
          <w:bCs/>
          <w:sz w:val="23"/>
          <w:szCs w:val="23"/>
        </w:rPr>
        <w:t xml:space="preserve">Разработчик нормативного правового акта: </w:t>
      </w:r>
      <w:r>
        <w:rPr>
          <w:rFonts w:ascii="11,5" w:hAnsi="11,5"/>
          <w:bCs/>
          <w:sz w:val="23"/>
          <w:szCs w:val="23"/>
          <w:u w:val="single"/>
        </w:rPr>
        <w:t xml:space="preserve">Департамент </w:t>
      </w:r>
      <w:r>
        <w:rPr>
          <w:rFonts w:ascii="11,5" w:hAnsi="11,5"/>
          <w:bCs/>
          <w:sz w:val="23"/>
          <w:szCs w:val="23"/>
          <w:u w:val="single"/>
        </w:rPr>
        <w:t xml:space="preserve">транспорта, дорожной деятельности и связи Томской области</w:t>
      </w:r>
      <w:r>
        <w:rPr>
          <w:rFonts w:ascii="11,5" w:hAnsi="11,5"/>
          <w:bCs/>
          <w:sz w:val="23"/>
          <w:szCs w:val="23"/>
        </w:rPr>
        <w:t xml:space="preserve">.</w:t>
      </w:r>
      <w:r>
        <w:rPr>
          <w:rFonts w:ascii="11,5" w:hAnsi="11,5"/>
          <w:bCs/>
          <w:sz w:val="23"/>
          <w:szCs w:val="23"/>
        </w:rPr>
      </w:r>
      <w:r>
        <w:rPr>
          <w:rFonts w:ascii="11,5" w:hAnsi="11,5"/>
          <w:bCs/>
          <w:sz w:val="23"/>
          <w:szCs w:val="23"/>
        </w:rPr>
      </w:r>
    </w:p>
    <w:p>
      <w:pPr>
        <w:ind w:firstLine="709"/>
        <w:jc w:val="both"/>
        <w:rPr>
          <w:rFonts w:ascii="11,5" w:hAnsi="11,5"/>
          <w:bCs/>
          <w:sz w:val="23"/>
          <w:szCs w:val="23"/>
        </w:rPr>
      </w:pPr>
      <w:r>
        <w:rPr>
          <w:rFonts w:ascii="11,5" w:hAnsi="11,5"/>
          <w:bCs/>
          <w:sz w:val="23"/>
          <w:szCs w:val="23"/>
        </w:rPr>
        <w:t xml:space="preserve">Срок проведения публичных консультаций, в течение которого Департаментом по государственно-правовым вопросам и законопроектной деятельности Администрации Томской области принимались предложения: </w:t>
      </w:r>
      <w:r>
        <w:rPr>
          <w:rFonts w:ascii="11,5" w:hAnsi="11,5"/>
          <w:bCs/>
          <w:sz w:val="23"/>
          <w:szCs w:val="23"/>
          <w:u w:val="single"/>
        </w:rPr>
        <w:t xml:space="preserve">с 20.08.2026 по 18.09.2026</w:t>
      </w:r>
      <w:r>
        <w:rPr>
          <w:rFonts w:ascii="11,5" w:hAnsi="11,5"/>
          <w:bCs/>
          <w:sz w:val="23"/>
          <w:szCs w:val="23"/>
          <w:u w:val="single"/>
        </w:rPr>
        <w:t xml:space="preserve">.</w:t>
      </w:r>
      <w:r>
        <w:rPr>
          <w:rFonts w:ascii="11,5" w:hAnsi="11,5"/>
          <w:bCs/>
          <w:sz w:val="23"/>
          <w:szCs w:val="23"/>
        </w:rPr>
      </w:r>
      <w:r>
        <w:rPr>
          <w:rFonts w:ascii="11,5" w:hAnsi="11,5"/>
          <w:bCs/>
          <w:sz w:val="23"/>
          <w:szCs w:val="23"/>
        </w:rPr>
      </w:r>
    </w:p>
    <w:p>
      <w:pPr>
        <w:ind w:firstLine="709"/>
        <w:jc w:val="both"/>
        <w:rPr>
          <w:rFonts w:ascii="11,5" w:hAnsi="11,5"/>
          <w:bCs/>
          <w:sz w:val="23"/>
          <w:szCs w:val="23"/>
        </w:rPr>
      </w:pPr>
      <w:r>
        <w:rPr>
          <w:rFonts w:ascii="11,5" w:hAnsi="11,5"/>
          <w:bCs/>
          <w:sz w:val="23"/>
          <w:szCs w:val="23"/>
        </w:rPr>
        <w:t xml:space="preserve">Место размещения нормативного правового акта, уведомления о проведении публичных консультаций в рамках экспертизы и пер</w:t>
      </w:r>
      <w:r>
        <w:rPr>
          <w:rFonts w:ascii="11,5" w:hAnsi="11,5"/>
          <w:bCs/>
          <w:sz w:val="23"/>
          <w:szCs w:val="23"/>
        </w:rPr>
        <w:t xml:space="preserve">ечня вопросов в автоматизированной информационной системе «Инвестиционный портал Томской области» (http://www.investintomsk.ru) – «Поддержка бизнеса» – «Оценка регулирующего воздействия и экспертиза» – «Экспертиза НПА»: http://orv-tomsk.ru/ekspertiza-npa/.</w:t>
      </w:r>
      <w:r>
        <w:rPr>
          <w:rFonts w:ascii="11,5" w:hAnsi="11,5"/>
          <w:bCs/>
          <w:sz w:val="23"/>
          <w:szCs w:val="23"/>
        </w:rPr>
      </w:r>
      <w:r>
        <w:rPr>
          <w:rFonts w:ascii="11,5" w:hAnsi="11,5"/>
          <w:bCs/>
          <w:sz w:val="23"/>
          <w:szCs w:val="23"/>
        </w:rPr>
      </w:r>
    </w:p>
    <w:p>
      <w:pPr>
        <w:ind w:firstLine="709"/>
        <w:jc w:val="both"/>
        <w:rPr>
          <w:rFonts w:ascii="11,5" w:hAnsi="11,5"/>
          <w:bCs/>
          <w:sz w:val="23"/>
          <w:szCs w:val="23"/>
        </w:rPr>
      </w:pPr>
      <w:r>
        <w:rPr>
          <w:rFonts w:ascii="11,5" w:hAnsi="11,5"/>
          <w:bCs/>
          <w:sz w:val="23"/>
          <w:szCs w:val="23"/>
        </w:rPr>
        <w:t xml:space="preserve">Список заинтересованных лиц, которые были надлежащим </w:t>
      </w:r>
      <w:r>
        <w:rPr>
          <w:rFonts w:ascii="11,5" w:hAnsi="11,5"/>
          <w:bCs/>
          <w:sz w:val="23"/>
          <w:szCs w:val="23"/>
        </w:rPr>
        <w:t xml:space="preserve">образом</w:t>
      </w:r>
      <w:r>
        <w:rPr>
          <w:rFonts w:ascii="11,5" w:hAnsi="11,5"/>
          <w:bCs/>
          <w:sz w:val="23"/>
          <w:szCs w:val="23"/>
        </w:rPr>
        <w:t xml:space="preserve"> уведомлены о начале проведения публичных консультаций:</w:t>
      </w:r>
      <w:r>
        <w:rPr>
          <w:rFonts w:ascii="11,5" w:hAnsi="11,5"/>
          <w:bCs/>
          <w:sz w:val="23"/>
          <w:szCs w:val="23"/>
        </w:rPr>
      </w:r>
      <w:r>
        <w:rPr>
          <w:rFonts w:ascii="11,5" w:hAnsi="11,5"/>
          <w:bCs/>
          <w:sz w:val="23"/>
          <w:szCs w:val="23"/>
        </w:rPr>
      </w:r>
    </w:p>
    <w:p>
      <w:pPr>
        <w:ind w:firstLine="709"/>
        <w:jc w:val="both"/>
        <w:rPr>
          <w:rFonts w:ascii="11,5" w:hAnsi="11,5"/>
          <w:bCs/>
          <w:sz w:val="23"/>
          <w:szCs w:val="23"/>
          <w:u w:val="single"/>
        </w:rPr>
      </w:pPr>
      <w:r>
        <w:rPr>
          <w:rFonts w:ascii="11,5" w:hAnsi="11,5"/>
          <w:bCs/>
          <w:sz w:val="23"/>
          <w:szCs w:val="23"/>
          <w:u w:val="single"/>
        </w:rPr>
      </w:r>
      <w:r>
        <w:rPr>
          <w:rFonts w:ascii="11,5" w:hAnsi="11,5"/>
          <w:bCs/>
          <w:sz w:val="23"/>
          <w:szCs w:val="23"/>
          <w:u w:val="single"/>
        </w:rPr>
        <w:t xml:space="preserve">Уполномоченный по защите прав предпринимателей в Томской области, Томское региональное отделение Общероссийской общественной организации «Деловая Россия», Томское региональное отделение Общероссийской общественной организации малого и среднего предприн</w:t>
      </w:r>
      <w:r>
        <w:rPr>
          <w:rFonts w:ascii="11,5" w:hAnsi="11,5"/>
          <w:bCs/>
          <w:sz w:val="23"/>
          <w:szCs w:val="23"/>
          <w:u w:val="single"/>
        </w:rPr>
        <w:t xml:space="preserve">имательства «Опора России», Союз «Торгово-промышленная палата Томской области», Ассоциация «Совет муниципальных образований Томской области», ООО «Асиновское АТП», ООО «Томскавтоэкспресс», индивидуальный предприниматель Свистунова Н.Л.</w:t>
      </w:r>
      <w:r>
        <w:rPr>
          <w:rFonts w:ascii="11,5" w:hAnsi="11,5"/>
          <w:bCs/>
          <w:sz w:val="23"/>
          <w:szCs w:val="23"/>
          <w:u w:val="single"/>
        </w:rPr>
      </w:r>
      <w:r>
        <w:rPr>
          <w:rFonts w:ascii="11,5" w:hAnsi="11,5"/>
          <w:bCs/>
          <w:sz w:val="23"/>
          <w:szCs w:val="23"/>
          <w:u w:val="single"/>
        </w:rPr>
      </w:r>
    </w:p>
    <w:p>
      <w:pPr>
        <w:rPr>
          <w:rFonts w:ascii="11,5" w:hAnsi="11,5"/>
          <w:sz w:val="23"/>
          <w:szCs w:val="23"/>
        </w:rPr>
      </w:pPr>
      <w:r>
        <w:rPr>
          <w:rFonts w:ascii="11,5" w:hAnsi="11,5"/>
          <w:sz w:val="23"/>
          <w:szCs w:val="23"/>
        </w:rPr>
      </w:r>
      <w:r>
        <w:rPr>
          <w:rFonts w:ascii="11,5" w:hAnsi="11,5"/>
          <w:sz w:val="23"/>
          <w:szCs w:val="23"/>
        </w:rPr>
      </w:r>
      <w:r>
        <w:rPr>
          <w:rFonts w:ascii="11,5" w:hAnsi="11,5"/>
          <w:sz w:val="23"/>
          <w:szCs w:val="23"/>
        </w:rPr>
      </w:r>
    </w:p>
    <w:tbl>
      <w:tblPr>
        <w:tblW w:w="15594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10348"/>
        <w:gridCol w:w="2410"/>
      </w:tblGrid>
      <w:tr>
        <w:tblPrEx/>
        <w:trPr/>
        <w:tc>
          <w:tcPr>
            <w:shd w:val="clear" w:color="auto" w:fill="auto"/>
            <w:tcW w:w="56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11,5" w:hAnsi="11,5"/>
                <w:b/>
                <w:bCs/>
                <w:sz w:val="23"/>
                <w:szCs w:val="23"/>
              </w:rPr>
            </w:pPr>
            <w:r>
              <w:rPr>
                <w:rFonts w:ascii="11,5" w:hAnsi="11,5"/>
                <w:b/>
                <w:bCs/>
                <w:sz w:val="23"/>
                <w:szCs w:val="23"/>
              </w:rPr>
              <w:t xml:space="preserve">№</w:t>
            </w:r>
            <w:r>
              <w:rPr>
                <w:rFonts w:ascii="11,5" w:hAnsi="11,5"/>
                <w:b/>
                <w:bCs/>
                <w:sz w:val="23"/>
                <w:szCs w:val="23"/>
              </w:rPr>
            </w:r>
            <w:r>
              <w:rPr>
                <w:rFonts w:ascii="11,5" w:hAnsi="11,5"/>
                <w:b/>
                <w:bCs/>
                <w:sz w:val="23"/>
                <w:szCs w:val="23"/>
              </w:rPr>
            </w:r>
          </w:p>
        </w:tc>
        <w:tc>
          <w:tcPr>
            <w:shd w:val="clear" w:color="auto" w:fill="auto"/>
            <w:tcW w:w="226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11,5" w:hAnsi="11,5"/>
                <w:b/>
                <w:bCs/>
                <w:sz w:val="23"/>
                <w:szCs w:val="23"/>
              </w:rPr>
            </w:pPr>
            <w:r>
              <w:rPr>
                <w:rFonts w:ascii="11,5" w:hAnsi="11,5"/>
                <w:b/>
                <w:bCs/>
                <w:sz w:val="23"/>
                <w:szCs w:val="23"/>
              </w:rPr>
              <w:t xml:space="preserve">Участник обсуждения</w:t>
            </w:r>
            <w:r>
              <w:rPr>
                <w:rFonts w:ascii="11,5" w:hAnsi="11,5"/>
                <w:b/>
                <w:bCs/>
                <w:sz w:val="23"/>
                <w:szCs w:val="23"/>
              </w:rPr>
            </w:r>
            <w:r>
              <w:rPr>
                <w:rFonts w:ascii="11,5" w:hAnsi="11,5"/>
                <w:b/>
                <w:bCs/>
                <w:sz w:val="23"/>
                <w:szCs w:val="23"/>
              </w:rPr>
            </w:r>
          </w:p>
        </w:tc>
        <w:tc>
          <w:tcPr>
            <w:shd w:val="clear" w:color="auto" w:fill="auto"/>
            <w:tcW w:w="10348" w:type="dxa"/>
            <w:vAlign w:val="center"/>
            <w:textDirection w:val="lrTb"/>
            <w:noWrap w:val="false"/>
          </w:tcPr>
          <w:p>
            <w:pPr>
              <w:ind w:firstLine="175"/>
              <w:jc w:val="center"/>
              <w:tabs>
                <w:tab w:val="left" w:pos="317" w:leader="none"/>
              </w:tabs>
              <w:rPr>
                <w:rFonts w:ascii="11,5" w:hAnsi="11,5"/>
                <w:b/>
                <w:bCs/>
                <w:sz w:val="23"/>
                <w:szCs w:val="23"/>
              </w:rPr>
            </w:pPr>
            <w:r>
              <w:rPr>
                <w:rFonts w:ascii="11,5" w:hAnsi="11,5"/>
                <w:b/>
                <w:bCs/>
                <w:sz w:val="23"/>
                <w:szCs w:val="23"/>
              </w:rPr>
              <w:t xml:space="preserve">Позиция участника обсуждения по </w:t>
            </w:r>
            <w:r>
              <w:rPr>
                <w:rFonts w:ascii="11,5" w:hAnsi="11,5"/>
                <w:b/>
                <w:bCs/>
                <w:sz w:val="23"/>
                <w:szCs w:val="23"/>
              </w:rPr>
              <w:t xml:space="preserve">действующему правовому регулированию</w:t>
            </w:r>
            <w:r>
              <w:rPr>
                <w:rFonts w:ascii="11,5" w:hAnsi="11,5"/>
                <w:b/>
                <w:bCs/>
                <w:sz w:val="23"/>
                <w:szCs w:val="23"/>
              </w:rPr>
            </w:r>
            <w:r>
              <w:rPr>
                <w:rFonts w:ascii="11,5" w:hAnsi="11,5"/>
                <w:b/>
                <w:bCs/>
                <w:sz w:val="23"/>
                <w:szCs w:val="23"/>
              </w:rPr>
            </w:r>
          </w:p>
        </w:tc>
        <w:tc>
          <w:tcPr>
            <w:shd w:val="clear" w:color="auto" w:fill="auto"/>
            <w:tcW w:w="2410" w:type="dxa"/>
            <w:vAlign w:val="center"/>
            <w:textDirection w:val="lrTb"/>
            <w:noWrap w:val="false"/>
          </w:tcPr>
          <w:p>
            <w:pPr>
              <w:ind w:firstLine="33"/>
              <w:jc w:val="center"/>
              <w:tabs>
                <w:tab w:val="left" w:pos="317" w:leader="none"/>
              </w:tabs>
              <w:rPr>
                <w:rFonts w:ascii="11,5" w:hAnsi="11,5"/>
                <w:b/>
                <w:bCs/>
                <w:sz w:val="23"/>
                <w:szCs w:val="23"/>
              </w:rPr>
            </w:pPr>
            <w:r>
              <w:rPr>
                <w:rFonts w:ascii="11,5" w:hAnsi="11,5"/>
                <w:b/>
                <w:bCs/>
                <w:sz w:val="23"/>
                <w:szCs w:val="23"/>
              </w:rPr>
              <w:t xml:space="preserve">Комментарии Департамента</w:t>
            </w:r>
            <w:r>
              <w:rPr>
                <w:rFonts w:ascii="11,5" w:hAnsi="11,5"/>
                <w:b/>
                <w:bCs/>
                <w:sz w:val="23"/>
                <w:szCs w:val="23"/>
              </w:rPr>
              <w:t xml:space="preserve"> по государственно-правовым вопросам и законопроектной деятельности Администрации Томской области  </w:t>
            </w:r>
            <w:r>
              <w:rPr>
                <w:rFonts w:ascii="11,5" w:hAnsi="11,5"/>
                <w:b/>
                <w:bCs/>
                <w:sz w:val="23"/>
                <w:szCs w:val="23"/>
              </w:rPr>
            </w:r>
            <w:r>
              <w:rPr>
                <w:rFonts w:ascii="11,5" w:hAnsi="11,5"/>
                <w:b/>
                <w:bCs/>
                <w:sz w:val="23"/>
                <w:szCs w:val="23"/>
              </w:rPr>
            </w:r>
          </w:p>
        </w:tc>
      </w:tr>
      <w:tr>
        <w:tblPrEx/>
        <w:trPr>
          <w:trHeight w:val="1391"/>
        </w:trPr>
        <w:tc>
          <w:tcPr>
            <w:shd w:val="clear" w:color="auto" w:fill="auto"/>
            <w:tcW w:w="568" w:type="dxa"/>
            <w:vAlign w:val="center"/>
            <w:textDirection w:val="lrTb"/>
            <w:noWrap w:val="false"/>
          </w:tcPr>
          <w:p>
            <w:pPr>
              <w:rPr>
                <w:rFonts w:ascii="11,5" w:hAnsi="11,5"/>
                <w:sz w:val="23"/>
                <w:szCs w:val="23"/>
              </w:rPr>
            </w:pPr>
            <w:r>
              <w:rPr>
                <w:rFonts w:ascii="11,5" w:hAnsi="11,5"/>
                <w:sz w:val="23"/>
                <w:szCs w:val="23"/>
              </w:rPr>
              <w:t xml:space="preserve">1</w:t>
            </w:r>
            <w:r>
              <w:rPr>
                <w:rFonts w:ascii="11,5" w:hAnsi="11,5"/>
                <w:sz w:val="23"/>
                <w:szCs w:val="23"/>
              </w:rPr>
              <w:t xml:space="preserve">.</w:t>
            </w:r>
            <w:r>
              <w:rPr>
                <w:rFonts w:ascii="11,5" w:hAnsi="11,5"/>
                <w:sz w:val="23"/>
                <w:szCs w:val="23"/>
              </w:rPr>
            </w:r>
            <w:r>
              <w:rPr>
                <w:rFonts w:ascii="11,5" w:hAnsi="11,5"/>
                <w:sz w:val="23"/>
                <w:szCs w:val="23"/>
              </w:rPr>
            </w:r>
          </w:p>
        </w:tc>
        <w:tc>
          <w:tcPr>
            <w:shd w:val="clear" w:color="auto" w:fill="auto"/>
            <w:tcW w:w="2268" w:type="dxa"/>
            <w:textDirection w:val="lrTb"/>
            <w:noWrap w:val="false"/>
          </w:tcPr>
          <w:p>
            <w:pPr>
              <w:rPr>
                <w:rFonts w:ascii="11,5" w:hAnsi="11,5"/>
                <w:sz w:val="23"/>
                <w:szCs w:val="23"/>
              </w:rPr>
            </w:pPr>
            <w:r>
              <w:rPr>
                <w:rFonts w:ascii="11,5" w:hAnsi="11,5"/>
                <w:sz w:val="23"/>
                <w:szCs w:val="23"/>
              </w:rPr>
              <w:t xml:space="preserve">Уполномоченны</w:t>
            </w:r>
            <w:r>
              <w:rPr>
                <w:rFonts w:ascii="11,5" w:hAnsi="11,5"/>
                <w:sz w:val="23"/>
                <w:szCs w:val="23"/>
              </w:rPr>
              <w:t xml:space="preserve">й </w:t>
            </w:r>
            <w:r>
              <w:rPr>
                <w:rFonts w:ascii="11,5" w:hAnsi="11,5"/>
                <w:sz w:val="23"/>
                <w:szCs w:val="23"/>
              </w:rPr>
              <w:t xml:space="preserve">по защите прав предпринимате-лей в Томской области</w:t>
            </w:r>
            <w:r>
              <w:rPr>
                <w:rFonts w:ascii="11,5" w:hAnsi="11,5"/>
                <w:sz w:val="23"/>
                <w:szCs w:val="23"/>
              </w:rPr>
            </w:r>
            <w:r>
              <w:rPr>
                <w:rFonts w:ascii="11,5" w:hAnsi="11,5"/>
                <w:sz w:val="23"/>
                <w:szCs w:val="23"/>
              </w:rPr>
            </w:r>
          </w:p>
        </w:tc>
        <w:tc>
          <w:tcPr>
            <w:shd w:val="clear" w:color="auto" w:fill="auto"/>
            <w:tcW w:w="10348" w:type="dxa"/>
            <w:textDirection w:val="lrTb"/>
            <w:noWrap w:val="false"/>
          </w:tcPr>
          <w:p>
            <w:pPr>
              <w:pStyle w:val="954"/>
              <w:ind w:firstLine="425"/>
              <w:jc w:val="both"/>
              <w:rPr>
                <w:rFonts w:ascii="11,5" w:hAnsi="11,5"/>
                <w:sz w:val="23"/>
                <w:szCs w:val="23"/>
              </w:rPr>
            </w:pPr>
            <w:r>
              <w:rPr>
                <w:rFonts w:ascii="11,5" w:hAnsi="11,5"/>
                <w:sz w:val="23"/>
                <w:szCs w:val="23"/>
              </w:rPr>
              <w:t xml:space="preserve">Положительное мнение. Замечания отсутствуют</w:t>
            </w:r>
            <w:r>
              <w:rPr>
                <w:rFonts w:ascii="11,5" w:hAnsi="11,5"/>
                <w:sz w:val="23"/>
                <w:szCs w:val="23"/>
              </w:rPr>
              <w:t xml:space="preserve">.</w:t>
            </w:r>
            <w:r>
              <w:rPr>
                <w:rFonts w:ascii="11,5" w:hAnsi="11,5"/>
                <w:sz w:val="23"/>
                <w:szCs w:val="23"/>
              </w:rPr>
            </w:r>
            <w:r>
              <w:rPr>
                <w:rFonts w:ascii="11,5" w:hAnsi="11,5"/>
                <w:sz w:val="23"/>
                <w:szCs w:val="23"/>
              </w:rPr>
            </w:r>
          </w:p>
        </w:tc>
        <w:tc>
          <w:tcPr>
            <w:shd w:val="clear" w:color="auto" w:fill="auto"/>
            <w:tcW w:w="2410" w:type="dxa"/>
            <w:textDirection w:val="lrTb"/>
            <w:noWrap w:val="false"/>
          </w:tcPr>
          <w:p>
            <w:pPr>
              <w:jc w:val="center"/>
              <w:rPr>
                <w:rFonts w:ascii="11,5" w:hAnsi="11,5"/>
                <w:sz w:val="23"/>
                <w:szCs w:val="23"/>
              </w:rPr>
            </w:pPr>
            <w:r>
              <w:rPr>
                <w:rFonts w:ascii="11,5" w:hAnsi="11,5"/>
                <w:sz w:val="23"/>
                <w:szCs w:val="23"/>
              </w:rPr>
            </w:r>
            <w:r>
              <w:rPr>
                <w:rFonts w:ascii="11,5" w:hAnsi="11,5"/>
                <w:sz w:val="23"/>
                <w:szCs w:val="23"/>
              </w:rPr>
            </w:r>
            <w:r>
              <w:rPr>
                <w:rFonts w:ascii="11,5" w:hAnsi="11,5"/>
                <w:sz w:val="23"/>
                <w:szCs w:val="23"/>
              </w:rPr>
            </w:r>
          </w:p>
          <w:p>
            <w:pPr>
              <w:jc w:val="center"/>
              <w:rPr>
                <w:rFonts w:ascii="11,5" w:hAnsi="11,5"/>
                <w:sz w:val="23"/>
                <w:szCs w:val="23"/>
              </w:rPr>
            </w:pPr>
            <w:r>
              <w:rPr>
                <w:rFonts w:ascii="11,5" w:hAnsi="11,5"/>
                <w:sz w:val="23"/>
                <w:szCs w:val="23"/>
              </w:rPr>
              <w:t xml:space="preserve">Учтен</w:t>
            </w:r>
            <w:r>
              <w:rPr>
                <w:rFonts w:ascii="11,5" w:hAnsi="11,5"/>
                <w:sz w:val="23"/>
                <w:szCs w:val="23"/>
              </w:rPr>
              <w:t xml:space="preserve">о</w:t>
            </w:r>
            <w:r>
              <w:rPr>
                <w:rFonts w:ascii="11,5" w:hAnsi="11,5"/>
                <w:sz w:val="23"/>
                <w:szCs w:val="23"/>
              </w:rPr>
              <w:t xml:space="preserve"> </w:t>
            </w:r>
            <w:r>
              <w:rPr>
                <w:rFonts w:ascii="11,5" w:hAnsi="11,5"/>
                <w:sz w:val="23"/>
                <w:szCs w:val="23"/>
              </w:rPr>
            </w:r>
            <w:r>
              <w:rPr>
                <w:rFonts w:ascii="11,5" w:hAnsi="11,5"/>
                <w:sz w:val="23"/>
                <w:szCs w:val="23"/>
              </w:rPr>
            </w:r>
          </w:p>
          <w:p>
            <w:pPr>
              <w:jc w:val="center"/>
              <w:rPr>
                <w:rFonts w:ascii="11,5" w:hAnsi="11,5"/>
                <w:sz w:val="23"/>
                <w:szCs w:val="23"/>
              </w:rPr>
            </w:pPr>
            <w:r>
              <w:rPr>
                <w:rFonts w:ascii="11,5" w:hAnsi="11,5"/>
                <w:sz w:val="23"/>
                <w:szCs w:val="23"/>
              </w:rPr>
            </w:r>
            <w:r>
              <w:rPr>
                <w:rFonts w:ascii="11,5" w:hAnsi="11,5"/>
                <w:sz w:val="23"/>
                <w:szCs w:val="23"/>
              </w:rPr>
            </w:r>
            <w:r>
              <w:rPr>
                <w:rFonts w:ascii="11,5" w:hAnsi="11,5"/>
                <w:sz w:val="23"/>
                <w:szCs w:val="23"/>
              </w:rPr>
            </w:r>
          </w:p>
          <w:p>
            <w:pPr>
              <w:jc w:val="both"/>
              <w:rPr>
                <w:rFonts w:ascii="11,5" w:hAnsi="11,5"/>
                <w:sz w:val="23"/>
                <w:szCs w:val="23"/>
              </w:rPr>
            </w:pPr>
            <w:r>
              <w:rPr>
                <w:rFonts w:ascii="11,5" w:hAnsi="11,5"/>
                <w:sz w:val="23"/>
                <w:szCs w:val="23"/>
              </w:rPr>
            </w:r>
            <w:r>
              <w:rPr>
                <w:rFonts w:ascii="11,5" w:hAnsi="11,5"/>
                <w:sz w:val="23"/>
                <w:szCs w:val="23"/>
              </w:rPr>
            </w:r>
            <w:r>
              <w:rPr>
                <w:rFonts w:ascii="11,5" w:hAnsi="11,5"/>
                <w:sz w:val="23"/>
                <w:szCs w:val="23"/>
              </w:rPr>
            </w:r>
          </w:p>
          <w:p>
            <w:pPr>
              <w:jc w:val="both"/>
              <w:rPr>
                <w:rFonts w:ascii="11,5" w:hAnsi="11,5"/>
                <w:sz w:val="23"/>
                <w:szCs w:val="23"/>
              </w:rPr>
            </w:pPr>
            <w:r>
              <w:rPr>
                <w:rFonts w:ascii="11,5" w:hAnsi="11,5"/>
                <w:sz w:val="23"/>
                <w:szCs w:val="23"/>
              </w:rPr>
            </w:r>
            <w:r>
              <w:rPr>
                <w:rFonts w:ascii="11,5" w:hAnsi="11,5"/>
                <w:sz w:val="23"/>
                <w:szCs w:val="23"/>
              </w:rPr>
            </w:r>
            <w:r>
              <w:rPr>
                <w:rFonts w:ascii="11,5" w:hAnsi="11,5"/>
                <w:sz w:val="23"/>
                <w:szCs w:val="23"/>
              </w:rPr>
            </w:r>
          </w:p>
          <w:p>
            <w:pPr>
              <w:jc w:val="both"/>
              <w:rPr>
                <w:rFonts w:ascii="11,5" w:hAnsi="11,5"/>
                <w:sz w:val="23"/>
                <w:szCs w:val="23"/>
              </w:rPr>
            </w:pPr>
            <w:r>
              <w:rPr>
                <w:rFonts w:ascii="11,5" w:hAnsi="11,5"/>
                <w:sz w:val="23"/>
                <w:szCs w:val="23"/>
              </w:rPr>
            </w:r>
            <w:r>
              <w:rPr>
                <w:rFonts w:ascii="11,5" w:hAnsi="11,5"/>
                <w:sz w:val="23"/>
                <w:szCs w:val="23"/>
              </w:rPr>
            </w:r>
            <w:r>
              <w:rPr>
                <w:rFonts w:ascii="11,5" w:hAnsi="11,5"/>
                <w:sz w:val="23"/>
                <w:szCs w:val="23"/>
              </w:rPr>
            </w:r>
          </w:p>
          <w:p>
            <w:pPr>
              <w:jc w:val="both"/>
              <w:rPr>
                <w:rFonts w:ascii="11,5" w:hAnsi="11,5"/>
                <w:sz w:val="23"/>
                <w:szCs w:val="23"/>
              </w:rPr>
            </w:pPr>
            <w:r>
              <w:rPr>
                <w:rFonts w:ascii="11,5" w:hAnsi="11,5"/>
                <w:sz w:val="23"/>
                <w:szCs w:val="23"/>
              </w:rPr>
            </w:r>
            <w:r>
              <w:rPr>
                <w:rFonts w:ascii="11,5" w:hAnsi="11,5"/>
                <w:sz w:val="23"/>
                <w:szCs w:val="23"/>
              </w:rPr>
            </w:r>
            <w:r>
              <w:rPr>
                <w:rFonts w:ascii="11,5" w:hAnsi="11,5"/>
                <w:sz w:val="23"/>
                <w:szCs w:val="23"/>
              </w:rPr>
            </w:r>
          </w:p>
        </w:tc>
      </w:tr>
      <w:tr>
        <w:tblPrEx/>
        <w:trPr>
          <w:trHeight w:val="274"/>
        </w:trPr>
        <w:tc>
          <w:tcPr>
            <w:shd w:val="clear" w:color="auto" w:fill="auto"/>
            <w:tcW w:w="568" w:type="dxa"/>
            <w:vAlign w:val="center"/>
            <w:textDirection w:val="lrTb"/>
            <w:noWrap w:val="false"/>
          </w:tcPr>
          <w:p>
            <w:pPr>
              <w:rPr>
                <w:rFonts w:ascii="11,5" w:hAnsi="11,5"/>
                <w:sz w:val="23"/>
                <w:szCs w:val="23"/>
              </w:rPr>
            </w:pPr>
            <w:r>
              <w:rPr>
                <w:rFonts w:ascii="11,5" w:hAnsi="11,5"/>
                <w:sz w:val="23"/>
                <w:szCs w:val="23"/>
              </w:rPr>
              <w:t xml:space="preserve">2.</w:t>
            </w:r>
            <w:r>
              <w:rPr>
                <w:rFonts w:ascii="11,5" w:hAnsi="11,5"/>
                <w:sz w:val="23"/>
                <w:szCs w:val="23"/>
              </w:rPr>
            </w:r>
            <w:r>
              <w:rPr>
                <w:rFonts w:ascii="11,5" w:hAnsi="11,5"/>
                <w:sz w:val="23"/>
                <w:szCs w:val="23"/>
              </w:rPr>
            </w:r>
          </w:p>
        </w:tc>
        <w:tc>
          <w:tcPr>
            <w:shd w:val="clear" w:color="auto" w:fill="auto"/>
            <w:tcW w:w="2268" w:type="dxa"/>
            <w:textDirection w:val="lrTb"/>
            <w:noWrap w:val="false"/>
          </w:tcPr>
          <w:p>
            <w:pPr>
              <w:rPr>
                <w:rFonts w:ascii="11,5" w:hAnsi="11,5"/>
                <w:sz w:val="23"/>
                <w:szCs w:val="23"/>
              </w:rPr>
            </w:pPr>
            <w:r>
              <w:rPr>
                <w:rFonts w:ascii="11,5" w:hAnsi="11,5"/>
                <w:sz w:val="23"/>
                <w:szCs w:val="23"/>
              </w:rPr>
            </w:r>
            <w:r>
              <w:rPr>
                <w:rFonts w:ascii="11,5" w:hAnsi="11,5"/>
                <w:sz w:val="23"/>
                <w:szCs w:val="23"/>
              </w:rPr>
              <w:t xml:space="preserve">Союз «Торгово-промышленная палата Томской области» и </w:t>
            </w:r>
            <w:r>
              <w:rPr>
                <w:rFonts w:ascii="11,5" w:hAnsi="11,5"/>
                <w:sz w:val="23"/>
                <w:szCs w:val="23"/>
              </w:rPr>
            </w:r>
            <w:r>
              <w:rPr>
                <w:rFonts w:ascii="11,5" w:hAnsi="11,5"/>
                <w:sz w:val="23"/>
                <w:szCs w:val="23"/>
              </w:rPr>
            </w:r>
          </w:p>
        </w:tc>
        <w:tc>
          <w:tcPr>
            <w:shd w:val="clear" w:color="auto" w:fill="auto"/>
            <w:tcW w:w="10348" w:type="dxa"/>
            <w:textDirection w:val="lrTb"/>
            <w:noWrap w:val="false"/>
          </w:tcPr>
          <w:p>
            <w:pPr>
              <w:pStyle w:val="954"/>
              <w:ind w:firstLine="425"/>
              <w:jc w:val="both"/>
            </w:pPr>
            <w:r>
              <w:rPr>
                <w:rFonts w:ascii="11,5" w:hAnsi="11,5"/>
                <w:sz w:val="23"/>
                <w:szCs w:val="23"/>
              </w:rPr>
              <w:t xml:space="preserve">Приказ № 47 не содержит перечень оснований для отказа в выдаче дубликата. Не установлена обязанность возврата перевозчиком испорченных бланков. Не указывается, что ранее выданные документы считаются недействительными с даты выдачи дубликата.</w:t>
            </w:r>
            <w:r>
              <w:rPr>
                <w:rFonts w:ascii="11,5" w:hAnsi="11,5"/>
                <w:sz w:val="23"/>
                <w:szCs w:val="23"/>
              </w:rPr>
            </w:r>
            <w:r/>
          </w:p>
          <w:p>
            <w:pPr>
              <w:pStyle w:val="954"/>
              <w:ind w:firstLine="425"/>
              <w:jc w:val="both"/>
              <w:rPr>
                <w:rFonts w:ascii="11,5" w:hAnsi="11,5"/>
                <w:sz w:val="23"/>
                <w:szCs w:val="23"/>
              </w:rPr>
            </w:pPr>
            <w:r>
              <w:rPr>
                <w:rFonts w:ascii="11,5" w:hAnsi="11,5"/>
                <w:sz w:val="23"/>
                <w:szCs w:val="23"/>
              </w:rPr>
              <w:t xml:space="preserve">Предлагается прописать в нормативном правовом акте перечень оснований для отказа в выдаче дубликата (например, отсутствие факта выдачи запрашиваемого документа, обращение ненадлежащего лица</w:t>
            </w:r>
            <w:r>
              <w:rPr>
                <w:rFonts w:ascii="11,5" w:hAnsi="11,5"/>
                <w:sz w:val="23"/>
                <w:szCs w:val="23"/>
              </w:rPr>
              <w:t xml:space="preserve"> </w:t>
            </w:r>
            <w:r>
              <w:rPr>
                <w:rFonts w:ascii="11,5" w:hAnsi="11,5"/>
                <w:sz w:val="23"/>
                <w:szCs w:val="23"/>
              </w:rPr>
              <w:t xml:space="preserve">и т.п.). Указать, что ранее выданные документы считаются недействительными с даты выдачи дубликата и установить обязанность возврата испорченных бланков при получении дубликата. Также предлагается раскрыть в нормативном правовом акте понятие «порча» свидет</w:t>
            </w:r>
            <w:r>
              <w:rPr>
                <w:rFonts w:ascii="11,5" w:hAnsi="11,5"/>
                <w:sz w:val="23"/>
                <w:szCs w:val="23"/>
              </w:rPr>
              <w:t xml:space="preserve">ельства или карты маршрута.</w:t>
            </w:r>
            <w:r>
              <w:rPr>
                <w:rFonts w:ascii="11,5" w:hAnsi="11,5"/>
                <w:sz w:val="23"/>
                <w:szCs w:val="23"/>
              </w:rPr>
            </w:r>
            <w:r>
              <w:rPr>
                <w:rFonts w:ascii="11,5" w:hAnsi="11,5"/>
                <w:sz w:val="23"/>
                <w:szCs w:val="23"/>
              </w:rPr>
            </w:r>
          </w:p>
        </w:tc>
        <w:tc>
          <w:tcPr>
            <w:shd w:val="clear" w:color="auto" w:fill="auto"/>
            <w:tcW w:w="2410" w:type="dxa"/>
            <w:textDirection w:val="lrTb"/>
            <w:noWrap w:val="false"/>
          </w:tcPr>
          <w:p>
            <w:pPr>
              <w:jc w:val="center"/>
              <w:rPr>
                <w:rFonts w:ascii="11,5" w:hAnsi="11,5"/>
                <w:sz w:val="23"/>
                <w:szCs w:val="23"/>
              </w:rPr>
            </w:pPr>
            <w:r>
              <w:rPr>
                <w:rFonts w:ascii="11,5" w:hAnsi="11,5"/>
                <w:sz w:val="23"/>
                <w:szCs w:val="23"/>
                <w:highlight w:val="none"/>
              </w:rPr>
            </w:r>
            <w:r>
              <w:rPr>
                <w:rFonts w:ascii="11,5" w:hAnsi="11,5"/>
                <w:sz w:val="23"/>
                <w:szCs w:val="23"/>
                <w:highlight w:val="none"/>
              </w:rPr>
            </w:r>
            <w:r>
              <w:rPr>
                <w:rFonts w:ascii="11,5" w:hAnsi="11,5"/>
                <w:sz w:val="23"/>
                <w:szCs w:val="23"/>
              </w:rPr>
            </w:r>
          </w:p>
          <w:p>
            <w:pPr>
              <w:jc w:val="center"/>
              <w:rPr>
                <w:rFonts w:ascii="11,5" w:hAnsi="11,5"/>
                <w:sz w:val="23"/>
                <w:szCs w:val="23"/>
                <w:highlight w:val="none"/>
              </w:rPr>
            </w:pPr>
            <w:r>
              <w:rPr>
                <w:rFonts w:ascii="11,5" w:hAnsi="11,5"/>
                <w:sz w:val="23"/>
                <w:szCs w:val="23"/>
              </w:rPr>
              <w:t xml:space="preserve">Не учтены </w:t>
            </w:r>
            <w:r>
              <w:rPr>
                <w:rFonts w:ascii="11,5" w:hAnsi="11,5"/>
                <w:sz w:val="23"/>
                <w:szCs w:val="23"/>
              </w:rPr>
              <w:t xml:space="preserve">(см. заключение)</w:t>
            </w:r>
            <w:r>
              <w:rPr>
                <w:rFonts w:ascii="11,5" w:hAnsi="11,5"/>
                <w:sz w:val="23"/>
                <w:szCs w:val="23"/>
              </w:rPr>
              <w:t xml:space="preserve">.</w:t>
            </w:r>
            <w:r>
              <w:rPr>
                <w:rFonts w:ascii="11,5" w:hAnsi="11,5"/>
                <w:sz w:val="23"/>
                <w:szCs w:val="23"/>
                <w:highlight w:val="none"/>
              </w:rPr>
            </w:r>
            <w:r>
              <w:rPr>
                <w:rFonts w:ascii="11,5" w:hAnsi="11,5"/>
                <w:sz w:val="23"/>
                <w:szCs w:val="23"/>
                <w:highlight w:val="none"/>
              </w:rPr>
            </w:r>
          </w:p>
        </w:tc>
      </w:tr>
      <w:tr>
        <w:tblPrEx/>
        <w:trPr>
          <w:trHeight w:val="274"/>
        </w:trPr>
        <w:tc>
          <w:tcPr>
            <w:shd w:val="clear" w:color="auto" w:fill="auto"/>
            <w:tcW w:w="568" w:type="dxa"/>
            <w:vAlign w:val="center"/>
            <w:textDirection w:val="lrTb"/>
            <w:noWrap w:val="false"/>
          </w:tcPr>
          <w:p>
            <w:pPr>
              <w:rPr>
                <w:rFonts w:ascii="11,5" w:hAnsi="11,5"/>
                <w:sz w:val="23"/>
                <w:szCs w:val="23"/>
              </w:rPr>
            </w:pPr>
            <w:r>
              <w:rPr>
                <w:rFonts w:ascii="11,5" w:hAnsi="11,5"/>
                <w:sz w:val="23"/>
                <w:szCs w:val="23"/>
              </w:rPr>
              <w:t xml:space="preserve">3.</w:t>
            </w:r>
            <w:r>
              <w:rPr>
                <w:rFonts w:ascii="11,5" w:hAnsi="11,5"/>
                <w:sz w:val="23"/>
                <w:szCs w:val="23"/>
              </w:rPr>
            </w:r>
            <w:r>
              <w:rPr>
                <w:rFonts w:ascii="11,5" w:hAnsi="11,5"/>
                <w:sz w:val="23"/>
                <w:szCs w:val="23"/>
              </w:rPr>
            </w:r>
          </w:p>
        </w:tc>
        <w:tc>
          <w:tcPr>
            <w:shd w:val="clear" w:color="auto" w:fill="auto"/>
            <w:tcW w:w="2268" w:type="dxa"/>
            <w:textDirection w:val="lrTb"/>
            <w:noWrap w:val="false"/>
          </w:tcPr>
          <w:p>
            <w:pPr>
              <w:rPr>
                <w:rFonts w:ascii="11,5" w:hAnsi="11,5"/>
                <w:sz w:val="23"/>
                <w:szCs w:val="23"/>
              </w:rPr>
            </w:pPr>
            <w:r>
              <w:rPr>
                <w:rFonts w:ascii="11,5" w:hAnsi="11,5"/>
                <w:sz w:val="23"/>
                <w:szCs w:val="23"/>
              </w:rPr>
            </w:r>
            <w:r>
              <w:rPr>
                <w:rFonts w:ascii="11,5" w:hAnsi="11,5"/>
                <w:sz w:val="23"/>
                <w:szCs w:val="23"/>
              </w:rPr>
              <w:t xml:space="preserve">ООО «Томскавтоэкс-пресс</w:t>
            </w:r>
            <w:r>
              <w:rPr>
                <w:rFonts w:ascii="11,5" w:hAnsi="11,5"/>
                <w:sz w:val="23"/>
                <w:szCs w:val="23"/>
              </w:rPr>
              <w:t xml:space="preserve">»</w:t>
            </w:r>
            <w:r>
              <w:rPr>
                <w:rFonts w:ascii="11,5" w:hAnsi="11,5"/>
                <w:sz w:val="23"/>
                <w:szCs w:val="23"/>
              </w:rPr>
            </w:r>
            <w:r>
              <w:rPr>
                <w:rFonts w:ascii="11,5" w:hAnsi="11,5"/>
                <w:sz w:val="23"/>
                <w:szCs w:val="23"/>
              </w:rPr>
            </w:r>
          </w:p>
        </w:tc>
        <w:tc>
          <w:tcPr>
            <w:shd w:val="clear" w:color="auto" w:fill="auto"/>
            <w:tcW w:w="10348" w:type="dxa"/>
            <w:textDirection w:val="lrTb"/>
            <w:noWrap w:val="false"/>
          </w:tcPr>
          <w:p>
            <w:pPr>
              <w:pStyle w:val="954"/>
              <w:ind w:firstLine="425"/>
              <w:jc w:val="both"/>
              <w:rPr>
                <w:rFonts w:ascii="11,5" w:hAnsi="11,5"/>
                <w:sz w:val="23"/>
                <w:szCs w:val="23"/>
              </w:rPr>
            </w:pPr>
            <w:r>
              <w:rPr>
                <w:rFonts w:ascii="11,5" w:hAnsi="11,5"/>
                <w:sz w:val="23"/>
                <w:szCs w:val="23"/>
              </w:rPr>
            </w:r>
            <w:r>
              <w:rPr>
                <w:rFonts w:ascii="11,5" w:hAnsi="11,5"/>
                <w:sz w:val="23"/>
                <w:szCs w:val="23"/>
              </w:rPr>
              <w:t xml:space="preserve">С</w:t>
            </w:r>
            <w:r>
              <w:rPr>
                <w:rFonts w:ascii="11,5" w:hAnsi="11,5"/>
                <w:sz w:val="23"/>
                <w:szCs w:val="23"/>
              </w:rPr>
              <w:t xml:space="preserve">видетельство об осуществлении перевозок и карта маршрута являются наряду с документами на транспортное средство и водительским удостоверением основополагающими разрешительными документами для осуществления перевозок. В случае их отсутствия на перевозчика м</w:t>
            </w:r>
            <w:r>
              <w:rPr>
                <w:rFonts w:ascii="11,5" w:hAnsi="11,5"/>
                <w:sz w:val="23"/>
                <w:szCs w:val="23"/>
              </w:rPr>
              <w:t xml:space="preserve">о</w:t>
            </w:r>
            <w:r>
              <w:rPr>
                <w:rFonts w:ascii="11,5" w:hAnsi="11,5"/>
                <w:sz w:val="23"/>
                <w:szCs w:val="23"/>
              </w:rPr>
              <w:t xml:space="preserve">жет быть наложен административный штраф. При большом количестве графиков и маршрутов возможна утрата или порча документов. В этих условиях процедура выдачи дубликата разрешительных документов в течение указанного в нормативном правовом акте срока неприемле</w:t>
            </w:r>
            <w:r>
              <w:rPr>
                <w:rFonts w:ascii="11,5" w:hAnsi="11,5"/>
                <w:sz w:val="23"/>
                <w:szCs w:val="23"/>
              </w:rPr>
              <w:t xml:space="preserve">м</w:t>
            </w:r>
            <w:r>
              <w:rPr>
                <w:rFonts w:ascii="11,5" w:hAnsi="11,5"/>
                <w:sz w:val="23"/>
                <w:szCs w:val="23"/>
              </w:rPr>
              <w:t xml:space="preserve">а, так как может привести к срыву заключенных договоров, связанных  с осуществлением перевозок. Предложено отладить систему электронной базы данных и доступ к ней сотрудников государственного автодорожного надзора, исключив при этом процедуру выдачи дублик</w:t>
            </w:r>
            <w:r>
              <w:rPr>
                <w:rFonts w:ascii="11,5" w:hAnsi="11,5"/>
                <w:sz w:val="23"/>
                <w:szCs w:val="23"/>
              </w:rPr>
              <w:t xml:space="preserve">атов документов и излишнее вмешательство в процесс исполнения заключенных договоров, связанных  с осуществлением перевозок.</w:t>
            </w:r>
            <w:r>
              <w:rPr>
                <w:rFonts w:ascii="11,5" w:hAnsi="11,5"/>
                <w:sz w:val="23"/>
                <w:szCs w:val="23"/>
              </w:rPr>
            </w:r>
            <w:r>
              <w:rPr>
                <w:rFonts w:ascii="11,5" w:hAnsi="11,5"/>
                <w:sz w:val="23"/>
                <w:szCs w:val="23"/>
              </w:rPr>
            </w:r>
          </w:p>
        </w:tc>
        <w:tc>
          <w:tcPr>
            <w:shd w:val="clear" w:color="auto" w:fill="auto"/>
            <w:tcW w:w="2410" w:type="dxa"/>
            <w:textDirection w:val="lrTb"/>
            <w:noWrap w:val="false"/>
          </w:tcPr>
          <w:p>
            <w:pPr>
              <w:jc w:val="center"/>
              <w:rPr>
                <w:rFonts w:ascii="11,5" w:hAnsi="11,5"/>
                <w:sz w:val="23"/>
                <w:szCs w:val="23"/>
              </w:rPr>
            </w:pPr>
            <w:r>
              <w:rPr>
                <w:rFonts w:ascii="11,5" w:hAnsi="11,5"/>
                <w:sz w:val="23"/>
                <w:szCs w:val="23"/>
                <w:highlight w:val="none"/>
              </w:rPr>
            </w:r>
            <w:r>
              <w:rPr>
                <w:rFonts w:ascii="11,5" w:hAnsi="11,5"/>
                <w:sz w:val="23"/>
                <w:szCs w:val="23"/>
                <w:highlight w:val="none"/>
              </w:rPr>
            </w:r>
            <w:r>
              <w:rPr>
                <w:rFonts w:ascii="11,5" w:hAnsi="11,5"/>
                <w:sz w:val="23"/>
                <w:szCs w:val="23"/>
              </w:rPr>
            </w:r>
          </w:p>
          <w:p>
            <w:pPr>
              <w:jc w:val="center"/>
              <w:rPr>
                <w:rFonts w:ascii="11,5" w:hAnsi="11,5"/>
                <w:sz w:val="23"/>
                <w:szCs w:val="23"/>
                <w:highlight w:val="none"/>
              </w:rPr>
            </w:pPr>
            <w:r>
              <w:rPr>
                <w:rFonts w:ascii="11,5" w:hAnsi="11,5"/>
                <w:sz w:val="23"/>
                <w:szCs w:val="23"/>
              </w:rPr>
              <w:t xml:space="preserve">Частично у</w:t>
            </w:r>
            <w:r>
              <w:rPr>
                <w:rFonts w:ascii="11,5" w:hAnsi="11,5"/>
                <w:sz w:val="23"/>
                <w:szCs w:val="23"/>
              </w:rPr>
              <w:t xml:space="preserve">чтен</w:t>
            </w:r>
            <w:r>
              <w:rPr>
                <w:rFonts w:ascii="11,5" w:hAnsi="11,5"/>
                <w:sz w:val="23"/>
                <w:szCs w:val="23"/>
              </w:rPr>
              <w:t xml:space="preserve">ы</w:t>
            </w:r>
            <w:r>
              <w:rPr>
                <w:rFonts w:ascii="11,5" w:hAnsi="11,5"/>
                <w:sz w:val="23"/>
                <w:szCs w:val="23"/>
              </w:rPr>
              <w:t xml:space="preserve"> </w:t>
            </w:r>
            <w:r>
              <w:rPr>
                <w:rFonts w:ascii="11,5" w:hAnsi="11,5"/>
                <w:sz w:val="23"/>
                <w:szCs w:val="23"/>
                <w:highlight w:val="none"/>
              </w:rPr>
            </w:r>
            <w:r>
              <w:rPr>
                <w:rFonts w:ascii="11,5" w:hAnsi="11,5"/>
                <w:sz w:val="23"/>
                <w:szCs w:val="23"/>
                <w:highlight w:val="none"/>
              </w:rPr>
            </w:r>
          </w:p>
          <w:p>
            <w:pPr>
              <w:jc w:val="center"/>
              <w:rPr>
                <w:rFonts w:ascii="11,5" w:hAnsi="11,5"/>
                <w:sz w:val="23"/>
                <w:szCs w:val="23"/>
              </w:rPr>
            </w:pPr>
            <w:r>
              <w:rPr>
                <w:rFonts w:ascii="11,5" w:hAnsi="11,5"/>
                <w:sz w:val="23"/>
                <w:szCs w:val="23"/>
              </w:rPr>
              <w:t xml:space="preserve">(см. заключение).</w:t>
            </w:r>
            <w:r>
              <w:rPr>
                <w:rFonts w:ascii="11,5" w:hAnsi="11,5"/>
                <w:sz w:val="23"/>
                <w:szCs w:val="23"/>
              </w:rPr>
            </w:r>
            <w:r>
              <w:rPr>
                <w:rFonts w:ascii="11,5" w:hAnsi="11,5"/>
                <w:sz w:val="23"/>
                <w:szCs w:val="23"/>
              </w:rPr>
            </w:r>
          </w:p>
        </w:tc>
      </w:tr>
    </w:tbl>
    <w:p>
      <w:pPr>
        <w:rPr>
          <w:rFonts w:ascii="11,5" w:hAnsi="11,5"/>
          <w:b/>
          <w:bCs/>
          <w:sz w:val="23"/>
          <w:szCs w:val="23"/>
        </w:rPr>
      </w:pPr>
      <w:r>
        <w:rPr>
          <w:rFonts w:ascii="11,5" w:hAnsi="11,5"/>
          <w:b/>
          <w:bCs/>
          <w:sz w:val="23"/>
          <w:szCs w:val="23"/>
        </w:rPr>
      </w:r>
      <w:r>
        <w:rPr>
          <w:rFonts w:ascii="11,5" w:hAnsi="11,5"/>
          <w:b/>
          <w:bCs/>
          <w:sz w:val="23"/>
          <w:szCs w:val="23"/>
        </w:rPr>
      </w:r>
      <w:r>
        <w:rPr>
          <w:rFonts w:ascii="11,5" w:hAnsi="11,5"/>
          <w:b/>
          <w:bCs/>
          <w:sz w:val="23"/>
          <w:szCs w:val="23"/>
        </w:rPr>
      </w:r>
    </w:p>
    <w:tbl>
      <w:tblPr>
        <w:tblW w:w="9311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8318"/>
        <w:gridCol w:w="993"/>
      </w:tblGrid>
      <w:tr>
        <w:tblPrEx/>
        <w:trPr/>
        <w:tc>
          <w:tcPr>
            <w:tcW w:w="8318" w:type="dxa"/>
            <w:textDirection w:val="lrTb"/>
            <w:noWrap w:val="false"/>
          </w:tcPr>
          <w:p>
            <w:pPr>
              <w:pStyle w:val="954"/>
              <w:rPr>
                <w:rFonts w:ascii="11,5" w:hAnsi="11,5"/>
                <w:sz w:val="23"/>
                <w:szCs w:val="23"/>
              </w:rPr>
            </w:pPr>
            <w:r>
              <w:rPr>
                <w:rFonts w:ascii="11,5" w:hAnsi="11,5"/>
                <w:sz w:val="23"/>
                <w:szCs w:val="23"/>
              </w:rPr>
              <w:t xml:space="preserve">Общее количество поступивших замечаний, предложений и мнений</w:t>
            </w:r>
            <w:r>
              <w:rPr>
                <w:rFonts w:ascii="11,5" w:hAnsi="11,5"/>
                <w:sz w:val="23"/>
                <w:szCs w:val="23"/>
              </w:rPr>
            </w:r>
            <w:r>
              <w:rPr>
                <w:rFonts w:ascii="11,5" w:hAnsi="11,5"/>
                <w:sz w:val="23"/>
                <w:szCs w:val="23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pStyle w:val="954"/>
              <w:jc w:val="center"/>
              <w:rPr>
                <w:rFonts w:ascii="11,5" w:hAnsi="11,5"/>
                <w:sz w:val="23"/>
                <w:szCs w:val="23"/>
              </w:rPr>
            </w:pPr>
            <w:r>
              <w:rPr>
                <w:rFonts w:ascii="11,5" w:hAnsi="11,5"/>
                <w:sz w:val="23"/>
                <w:szCs w:val="23"/>
              </w:rPr>
              <w:t xml:space="preserve">3</w:t>
            </w:r>
            <w:r>
              <w:rPr>
                <w:rFonts w:ascii="11,5" w:hAnsi="11,5"/>
                <w:sz w:val="23"/>
                <w:szCs w:val="23"/>
              </w:rPr>
            </w:r>
            <w:r>
              <w:rPr>
                <w:rFonts w:ascii="11,5" w:hAnsi="11,5"/>
                <w:sz w:val="23"/>
                <w:szCs w:val="23"/>
              </w:rPr>
            </w:r>
          </w:p>
        </w:tc>
      </w:tr>
      <w:tr>
        <w:tblPrEx/>
        <w:trPr/>
        <w:tc>
          <w:tcPr>
            <w:tcW w:w="8318" w:type="dxa"/>
            <w:textDirection w:val="lrTb"/>
            <w:noWrap w:val="false"/>
          </w:tcPr>
          <w:p>
            <w:pPr>
              <w:pStyle w:val="954"/>
              <w:rPr>
                <w:rFonts w:ascii="11,5" w:hAnsi="11,5"/>
                <w:sz w:val="23"/>
                <w:szCs w:val="23"/>
              </w:rPr>
            </w:pPr>
            <w:r>
              <w:rPr>
                <w:rFonts w:ascii="11,5" w:hAnsi="11,5"/>
                <w:sz w:val="23"/>
                <w:szCs w:val="23"/>
              </w:rPr>
              <w:t xml:space="preserve">Общее количество учтенных замечаний и предложений, а также мнений, принятых к сведению</w:t>
            </w:r>
            <w:r>
              <w:rPr>
                <w:rFonts w:ascii="11,5" w:hAnsi="11,5"/>
                <w:sz w:val="23"/>
                <w:szCs w:val="23"/>
              </w:rPr>
            </w:r>
            <w:r>
              <w:rPr>
                <w:rFonts w:ascii="11,5" w:hAnsi="11,5"/>
                <w:sz w:val="23"/>
                <w:szCs w:val="23"/>
              </w:rPr>
            </w:r>
          </w:p>
        </w:tc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954"/>
              <w:jc w:val="center"/>
              <w:rPr>
                <w:rFonts w:ascii="11,5" w:hAnsi="11,5"/>
                <w:sz w:val="23"/>
                <w:szCs w:val="23"/>
              </w:rPr>
            </w:pPr>
            <w:r>
              <w:rPr>
                <w:rFonts w:ascii="11,5" w:hAnsi="11,5"/>
                <w:sz w:val="23"/>
                <w:szCs w:val="23"/>
              </w:rPr>
              <w:t xml:space="preserve">1</w:t>
            </w:r>
            <w:r>
              <w:rPr>
                <w:rFonts w:ascii="11,5" w:hAnsi="11,5"/>
                <w:sz w:val="23"/>
                <w:szCs w:val="23"/>
              </w:rPr>
            </w:r>
            <w:r>
              <w:rPr>
                <w:rFonts w:ascii="11,5" w:hAnsi="11,5"/>
                <w:sz w:val="23"/>
                <w:szCs w:val="23"/>
              </w:rPr>
            </w:r>
          </w:p>
        </w:tc>
      </w:tr>
      <w:tr>
        <w:tblPrEx/>
        <w:trPr/>
        <w:tc>
          <w:tcPr>
            <w:tcW w:w="8318" w:type="dxa"/>
            <w:textDirection w:val="lrTb"/>
            <w:noWrap w:val="false"/>
          </w:tcPr>
          <w:p>
            <w:pPr>
              <w:pStyle w:val="954"/>
              <w:rPr>
                <w:rFonts w:ascii="11,5" w:hAnsi="11,5"/>
                <w:sz w:val="23"/>
                <w:szCs w:val="23"/>
              </w:rPr>
            </w:pPr>
            <w:r>
              <w:rPr>
                <w:rFonts w:ascii="11,5" w:hAnsi="11,5"/>
                <w:sz w:val="23"/>
                <w:szCs w:val="23"/>
              </w:rPr>
              <w:t xml:space="preserve">Общее количество частично учтенных замечаний и предложений</w:t>
            </w:r>
            <w:r>
              <w:rPr>
                <w:rFonts w:ascii="11,5" w:hAnsi="11,5"/>
                <w:sz w:val="23"/>
                <w:szCs w:val="23"/>
              </w:rPr>
            </w:r>
            <w:r>
              <w:rPr>
                <w:rFonts w:ascii="11,5" w:hAnsi="11,5"/>
                <w:sz w:val="23"/>
                <w:szCs w:val="23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pStyle w:val="954"/>
              <w:jc w:val="center"/>
              <w:rPr>
                <w:rFonts w:ascii="11,5" w:hAnsi="11,5"/>
                <w:sz w:val="23"/>
                <w:szCs w:val="23"/>
              </w:rPr>
            </w:pPr>
            <w:r>
              <w:rPr>
                <w:rFonts w:ascii="11,5" w:hAnsi="11,5"/>
                <w:sz w:val="23"/>
                <w:szCs w:val="23"/>
              </w:rPr>
              <w:t xml:space="preserve">1</w:t>
            </w:r>
            <w:r>
              <w:rPr>
                <w:rFonts w:ascii="11,5" w:hAnsi="11,5"/>
                <w:sz w:val="23"/>
                <w:szCs w:val="23"/>
              </w:rPr>
            </w:r>
            <w:r>
              <w:rPr>
                <w:rFonts w:ascii="11,5" w:hAnsi="11,5"/>
                <w:sz w:val="23"/>
                <w:szCs w:val="23"/>
              </w:rPr>
            </w:r>
          </w:p>
        </w:tc>
      </w:tr>
      <w:tr>
        <w:tblPrEx/>
        <w:trPr/>
        <w:tc>
          <w:tcPr>
            <w:tcW w:w="8318" w:type="dxa"/>
            <w:textDirection w:val="lrTb"/>
            <w:noWrap w:val="false"/>
          </w:tcPr>
          <w:p>
            <w:pPr>
              <w:pStyle w:val="954"/>
              <w:rPr>
                <w:rFonts w:ascii="11,5" w:hAnsi="11,5"/>
                <w:sz w:val="23"/>
                <w:szCs w:val="23"/>
              </w:rPr>
            </w:pPr>
            <w:r>
              <w:rPr>
                <w:rFonts w:ascii="11,5" w:hAnsi="11,5"/>
                <w:sz w:val="23"/>
                <w:szCs w:val="23"/>
              </w:rPr>
              <w:t xml:space="preserve">Общее количество неучтенных замечаний и предложений</w:t>
            </w:r>
            <w:r>
              <w:rPr>
                <w:rFonts w:ascii="11,5" w:hAnsi="11,5"/>
                <w:sz w:val="23"/>
                <w:szCs w:val="23"/>
              </w:rPr>
            </w:r>
            <w:r>
              <w:rPr>
                <w:rFonts w:ascii="11,5" w:hAnsi="11,5"/>
                <w:sz w:val="23"/>
                <w:szCs w:val="23"/>
              </w:rPr>
            </w:r>
          </w:p>
        </w:tc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954"/>
              <w:jc w:val="center"/>
              <w:tabs>
                <w:tab w:val="left" w:pos="345" w:leader="none"/>
                <w:tab w:val="center" w:pos="434" w:leader="none"/>
              </w:tabs>
              <w:rPr>
                <w:rFonts w:ascii="11,5" w:hAnsi="11,5"/>
                <w:sz w:val="23"/>
                <w:szCs w:val="23"/>
              </w:rPr>
            </w:pPr>
            <w:r>
              <w:rPr>
                <w:rFonts w:ascii="11,5" w:hAnsi="11,5"/>
                <w:sz w:val="23"/>
                <w:szCs w:val="23"/>
              </w:rPr>
              <w:t xml:space="preserve">1</w:t>
            </w:r>
            <w:r>
              <w:rPr>
                <w:rFonts w:ascii="11,5" w:hAnsi="11,5"/>
                <w:sz w:val="23"/>
                <w:szCs w:val="23"/>
              </w:rPr>
            </w:r>
            <w:r>
              <w:rPr>
                <w:rFonts w:ascii="11,5" w:hAnsi="11,5"/>
                <w:sz w:val="23"/>
                <w:szCs w:val="23"/>
              </w:rPr>
            </w:r>
          </w:p>
        </w:tc>
      </w:tr>
    </w:tbl>
    <w:p>
      <w:pPr>
        <w:rPr>
          <w:rFonts w:ascii="11,5" w:hAnsi="11,5"/>
          <w:b/>
          <w:bCs/>
          <w:sz w:val="23"/>
          <w:szCs w:val="23"/>
        </w:rPr>
      </w:pPr>
      <w:r>
        <w:rPr>
          <w:rFonts w:ascii="11,5" w:hAnsi="11,5"/>
          <w:b/>
          <w:bCs/>
          <w:sz w:val="23"/>
          <w:szCs w:val="23"/>
        </w:rPr>
      </w:r>
      <w:r>
        <w:rPr>
          <w:rFonts w:ascii="11,5" w:hAnsi="11,5"/>
          <w:b/>
          <w:bCs/>
          <w:sz w:val="23"/>
          <w:szCs w:val="23"/>
        </w:rPr>
      </w:r>
      <w:r>
        <w:rPr>
          <w:rFonts w:ascii="11,5" w:hAnsi="11,5"/>
          <w:b/>
          <w:bCs/>
          <w:sz w:val="23"/>
          <w:szCs w:val="23"/>
        </w:rPr>
      </w:r>
    </w:p>
    <w:sectPr>
      <w:headerReference w:type="even" r:id="rId9"/>
      <w:footnotePr/>
      <w:endnotePr/>
      <w:type w:val="nextPage"/>
      <w:pgSz w:w="16838" w:h="11906" w:orient="landscape"/>
      <w:pgMar w:top="1134" w:right="1134" w:bottom="1134" w:left="1276" w:header="539" w:footer="720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Verdana">
    <w:panose1 w:val="020B0604030504040204"/>
  </w:font>
  <w:font w:name="Arial Unicode MS">
    <w:panose1 w:val="020B0604020202020204"/>
  </w:font>
  <w:font w:name="Arial">
    <w:panose1 w:val="020B0604020202020204"/>
  </w:font>
  <w:font w:name="Consolas">
    <w:panose1 w:val="020B0606020202030204"/>
  </w:font>
  <w:font w:name="Tahoma">
    <w:panose1 w:val="020B0604030504040204"/>
  </w:font>
  <w:font w:name="Courier New">
    <w:panose1 w:val="02070409020205020404"/>
  </w:font>
  <w:font w:name="11,5">
    <w:panose1 w:val="02000603000000000000"/>
  </w:font>
  <w:font w:name="Cambria">
    <w:panose1 w:val="02040503050406030204"/>
  </w:font>
  <w:font w:name="Wingdings">
    <w:panose1 w:val="05010000000000000000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5"/>
      <w:rPr>
        <w:rStyle w:val="920"/>
      </w:rPr>
      <w:framePr w:wrap="around" w:vAnchor="text" w:hAnchor="margin" w:xAlign="center" w:y="1"/>
    </w:pPr>
    <w:r>
      <w:rPr>
        <w:rStyle w:val="920"/>
      </w:rPr>
      <w:fldChar w:fldCharType="begin"/>
    </w:r>
    <w:r>
      <w:rPr>
        <w:rStyle w:val="920"/>
      </w:rPr>
      <w:instrText xml:space="preserve">PAGE  </w:instrText>
    </w:r>
    <w:r>
      <w:rPr>
        <w:rStyle w:val="920"/>
      </w:rPr>
      <w:fldChar w:fldCharType="separate"/>
    </w:r>
    <w:r>
      <w:rPr>
        <w:rStyle w:val="920"/>
      </w:rPr>
      <w:t xml:space="preserve">6</w:t>
    </w:r>
    <w:r>
      <w:rPr>
        <w:rStyle w:val="920"/>
      </w:rPr>
      <w:fldChar w:fldCharType="end"/>
    </w:r>
    <w:r>
      <w:rPr>
        <w:rStyle w:val="920"/>
      </w:rPr>
    </w:r>
    <w:r>
      <w:rPr>
        <w:rStyle w:val="920"/>
      </w:rPr>
    </w:r>
  </w:p>
  <w:p>
    <w:pPr>
      <w:pStyle w:val="91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3"/>
        <w:szCs w:val="23"/>
        <w:u w:val="none"/>
      </w:rPr>
    </w:lvl>
    <w:lvl w:ilvl="1">
      <w:start w:val="4"/>
      <w:numFmt w:val="decimal"/>
      <w:isLgl w:val="false"/>
      <w:suff w:val="tab"/>
      <w:lvlText w:val="%2."/>
      <w:lvlJc w:val="left"/>
      <w:pPr/>
    </w:lvl>
    <w:lvl w:ilvl="2">
      <w:start w:val="4"/>
      <w:numFmt w:val="decimal"/>
      <w:isLgl w:val="false"/>
      <w:suff w:val="tab"/>
      <w:lvlText w:val="%2."/>
      <w:lvlJc w:val="left"/>
      <w:pPr/>
    </w:lvl>
    <w:lvl w:ilvl="3">
      <w:start w:val="4"/>
      <w:numFmt w:val="decimal"/>
      <w:isLgl w:val="false"/>
      <w:suff w:val="tab"/>
      <w:lvlText w:val="%2."/>
      <w:lvlJc w:val="left"/>
      <w:pPr/>
    </w:lvl>
    <w:lvl w:ilvl="4">
      <w:start w:val="4"/>
      <w:numFmt w:val="decimal"/>
      <w:isLgl w:val="false"/>
      <w:suff w:val="tab"/>
      <w:lvlText w:val="%2."/>
      <w:lvlJc w:val="left"/>
      <w:pPr/>
    </w:lvl>
    <w:lvl w:ilvl="5">
      <w:start w:val="4"/>
      <w:numFmt w:val="decimal"/>
      <w:isLgl w:val="false"/>
      <w:suff w:val="tab"/>
      <w:lvlText w:val="%2."/>
      <w:lvlJc w:val="left"/>
      <w:pPr/>
    </w:lvl>
    <w:lvl w:ilvl="6">
      <w:start w:val="4"/>
      <w:numFmt w:val="decimal"/>
      <w:isLgl w:val="false"/>
      <w:suff w:val="tab"/>
      <w:lvlText w:val="%2."/>
      <w:lvlJc w:val="left"/>
      <w:pPr/>
    </w:lvl>
    <w:lvl w:ilvl="7">
      <w:start w:val="4"/>
      <w:numFmt w:val="decimal"/>
      <w:isLgl w:val="false"/>
      <w:suff w:val="tab"/>
      <w:lvlText w:val="%2."/>
      <w:lvlJc w:val="left"/>
      <w:pPr/>
    </w:lvl>
    <w:lvl w:ilvl="8">
      <w:start w:val="4"/>
      <w:numFmt w:val="decimal"/>
      <w:isLgl w:val="false"/>
      <w:suff w:val="tab"/>
      <w:lvlText w:val="%2."/>
      <w:lvlJc w:val="left"/>
      <w:pPr/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1">
      <w:start w:val="1"/>
      <w:numFmt w:val="decimal"/>
      <w:isLgl w:val="false"/>
      <w:suff w:val="tab"/>
      <w:lvlText w:val="%2)"/>
      <w:lvlJc w:val="left"/>
      <w:pPr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2">
      <w:start w:val="1"/>
      <w:numFmt w:val="decimal"/>
      <w:isLgl w:val="false"/>
      <w:suff w:val="tab"/>
      <w:lvlText w:val="%3)"/>
      <w:lvlJc w:val="left"/>
      <w:pPr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3">
      <w:start w:val="1"/>
      <w:numFmt w:val="decimal"/>
      <w:isLgl w:val="false"/>
      <w:suff w:val="tab"/>
      <w:lvlText w:val="%3)"/>
      <w:lvlJc w:val="left"/>
      <w:pPr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4">
      <w:start w:val="1"/>
      <w:numFmt w:val="decimal"/>
      <w:isLgl w:val="false"/>
      <w:suff w:val="tab"/>
      <w:lvlText w:val="%3)"/>
      <w:lvlJc w:val="left"/>
      <w:pPr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5">
      <w:start w:val="1"/>
      <w:numFmt w:val="decimal"/>
      <w:isLgl w:val="false"/>
      <w:suff w:val="tab"/>
      <w:lvlText w:val="%3)"/>
      <w:lvlJc w:val="left"/>
      <w:pPr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6">
      <w:start w:val="1"/>
      <w:numFmt w:val="decimal"/>
      <w:isLgl w:val="false"/>
      <w:suff w:val="tab"/>
      <w:lvlText w:val="%3)"/>
      <w:lvlJc w:val="left"/>
      <w:pPr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7">
      <w:start w:val="1"/>
      <w:numFmt w:val="decimal"/>
      <w:isLgl w:val="false"/>
      <w:suff w:val="tab"/>
      <w:lvlText w:val="%3)"/>
      <w:lvlJc w:val="left"/>
      <w:pPr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8">
      <w:start w:val="1"/>
      <w:numFmt w:val="decimal"/>
      <w:isLgl w:val="false"/>
      <w:suff w:val="tab"/>
      <w:lvlText w:val="%3)"/>
      <w:lvlJc w:val="left"/>
      <w:pPr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485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20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2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4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6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8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0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2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45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53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25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7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9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1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3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5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7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95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9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1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3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5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7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9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1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37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 w:ascii="Times New Roman" w:hAnsi="Times New Roman" w:cs="Times New Roman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 w:ascii="Times New Roman" w:hAnsi="Times New Roman" w:cs="Times New Roman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hint="default"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lang w:val="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3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25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7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9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1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3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5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7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95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485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20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2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4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6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8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0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2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45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3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25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7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9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1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3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5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7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95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9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1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3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5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7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9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1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37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644" w:hanging="360"/>
      </w:pPr>
      <w:rPr>
        <w:rFonts w:hint="default"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872" w:hanging="55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9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1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3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5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7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9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1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37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3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25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7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9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1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3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5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7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96" w:hanging="180"/>
      </w:pPr>
    </w:lvl>
  </w:abstractNum>
  <w:abstractNum w:abstractNumId="25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lang w:val="ru"/>
      </w:rPr>
    </w:lvl>
    <w:lvl w:ilvl="1">
      <w:start w:val="2"/>
      <w:numFmt w:val="decimal"/>
      <w:isLgl w:val="false"/>
      <w:suff w:val="tab"/>
      <w:lvlText w:val="%2."/>
      <w:lvlJc w:val="left"/>
      <w:pPr/>
      <w:rPr>
        <w:rFonts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lang w:val="ru"/>
      </w:rPr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109" w:hanging="360"/>
      </w:pPr>
      <w:rPr>
        <w:rFonts w:hint="default"/>
        <w:color w:val="auto"/>
        <w:sz w:val="25"/>
      </w:rPr>
    </w:lvl>
    <w:lvl w:ilvl="1">
      <w:start w:val="1"/>
      <w:numFmt w:val="lowerLetter"/>
      <w:isLgl w:val="false"/>
      <w:suff w:val="tab"/>
      <w:lvlText w:val="%2."/>
      <w:lvlJc w:val="left"/>
      <w:pPr>
        <w:ind w:left="18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69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3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25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7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9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1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3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5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7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95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25"/>
  </w:num>
  <w:num w:numId="2">
    <w:abstractNumId w:val="1"/>
  </w:num>
  <w:num w:numId="3">
    <w:abstractNumId w:val="19"/>
  </w:num>
  <w:num w:numId="4">
    <w:abstractNumId w:val="9"/>
  </w:num>
  <w:num w:numId="5">
    <w:abstractNumId w:val="23"/>
  </w:num>
  <w:num w:numId="6">
    <w:abstractNumId w:val="8"/>
  </w:num>
  <w:num w:numId="7">
    <w:abstractNumId w:val="26"/>
  </w:num>
  <w:num w:numId="8">
    <w:abstractNumId w:val="21"/>
  </w:num>
  <w:num w:numId="9">
    <w:abstractNumId w:val="6"/>
  </w:num>
  <w:num w:numId="10">
    <w:abstractNumId w:val="30"/>
  </w:num>
  <w:num w:numId="11">
    <w:abstractNumId w:val="7"/>
  </w:num>
  <w:num w:numId="12">
    <w:abstractNumId w:val="20"/>
  </w:num>
  <w:num w:numId="13">
    <w:abstractNumId w:val="17"/>
  </w:num>
  <w:num w:numId="14">
    <w:abstractNumId w:val="4"/>
  </w:num>
  <w:num w:numId="15">
    <w:abstractNumId w:val="12"/>
  </w:num>
  <w:num w:numId="16">
    <w:abstractNumId w:val="22"/>
  </w:num>
  <w:num w:numId="17">
    <w:abstractNumId w:val="28"/>
  </w:num>
  <w:num w:numId="18">
    <w:abstractNumId w:val="16"/>
  </w:num>
  <w:num w:numId="19">
    <w:abstractNumId w:val="3"/>
  </w:num>
  <w:num w:numId="20">
    <w:abstractNumId w:val="13"/>
  </w:num>
  <w:num w:numId="21">
    <w:abstractNumId w:val="10"/>
  </w:num>
  <w:num w:numId="22">
    <w:abstractNumId w:val="18"/>
  </w:num>
  <w:num w:numId="23">
    <w:abstractNumId w:val="0"/>
  </w:num>
  <w:num w:numId="24">
    <w:abstractNumId w:val="2"/>
  </w:num>
  <w:num w:numId="25">
    <w:abstractNumId w:val="15"/>
  </w:num>
  <w:num w:numId="26">
    <w:abstractNumId w:val="11"/>
  </w:num>
  <w:num w:numId="27">
    <w:abstractNumId w:val="27"/>
  </w:num>
  <w:num w:numId="28">
    <w:abstractNumId w:val="5"/>
  </w:num>
  <w:num w:numId="29">
    <w:abstractNumId w:val="31"/>
  </w:num>
  <w:num w:numId="30">
    <w:abstractNumId w:val="29"/>
  </w:num>
  <w:num w:numId="31">
    <w:abstractNumId w:val="14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39">
    <w:name w:val="Heading 1 Char"/>
    <w:basedOn w:val="910"/>
    <w:link w:val="908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40">
    <w:name w:val="Heading 2 Char"/>
    <w:basedOn w:val="910"/>
    <w:link w:val="909"/>
    <w:uiPriority w:val="9"/>
    <w:rPr>
      <w:rFonts w:ascii="Liberation Sans" w:hAnsi="Liberation Sans" w:eastAsia="Liberation Sans" w:cs="Liberation Sans"/>
      <w:sz w:val="34"/>
    </w:rPr>
  </w:style>
  <w:style w:type="paragraph" w:styleId="741">
    <w:name w:val="Heading 3"/>
    <w:basedOn w:val="907"/>
    <w:next w:val="907"/>
    <w:link w:val="742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742">
    <w:name w:val="Heading 3 Char"/>
    <w:basedOn w:val="910"/>
    <w:link w:val="741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43">
    <w:name w:val="Heading 4"/>
    <w:basedOn w:val="907"/>
    <w:next w:val="907"/>
    <w:link w:val="744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44">
    <w:name w:val="Heading 4 Char"/>
    <w:basedOn w:val="910"/>
    <w:link w:val="743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45">
    <w:name w:val="Heading 5"/>
    <w:basedOn w:val="907"/>
    <w:next w:val="907"/>
    <w:link w:val="746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46">
    <w:name w:val="Heading 5 Char"/>
    <w:basedOn w:val="910"/>
    <w:link w:val="74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47">
    <w:name w:val="Heading 6"/>
    <w:basedOn w:val="907"/>
    <w:next w:val="907"/>
    <w:link w:val="748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48">
    <w:name w:val="Heading 6 Char"/>
    <w:basedOn w:val="910"/>
    <w:link w:val="747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49">
    <w:name w:val="Heading 7"/>
    <w:basedOn w:val="907"/>
    <w:next w:val="907"/>
    <w:link w:val="750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50">
    <w:name w:val="Heading 7 Char"/>
    <w:basedOn w:val="910"/>
    <w:link w:val="749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51">
    <w:name w:val="Heading 8"/>
    <w:basedOn w:val="907"/>
    <w:next w:val="907"/>
    <w:link w:val="752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52">
    <w:name w:val="Heading 8 Char"/>
    <w:basedOn w:val="910"/>
    <w:link w:val="751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53">
    <w:name w:val="Heading 9"/>
    <w:basedOn w:val="907"/>
    <w:next w:val="907"/>
    <w:link w:val="754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54">
    <w:name w:val="Heading 9 Char"/>
    <w:basedOn w:val="910"/>
    <w:link w:val="75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55">
    <w:name w:val="Title"/>
    <w:basedOn w:val="907"/>
    <w:next w:val="907"/>
    <w:link w:val="75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56">
    <w:name w:val="Title Char"/>
    <w:basedOn w:val="910"/>
    <w:link w:val="755"/>
    <w:uiPriority w:val="10"/>
    <w:rPr>
      <w:sz w:val="48"/>
      <w:szCs w:val="48"/>
    </w:rPr>
  </w:style>
  <w:style w:type="paragraph" w:styleId="757">
    <w:name w:val="Subtitle"/>
    <w:basedOn w:val="907"/>
    <w:next w:val="907"/>
    <w:link w:val="758"/>
    <w:uiPriority w:val="11"/>
    <w:qFormat/>
    <w:pPr>
      <w:spacing w:before="200" w:after="200"/>
    </w:pPr>
    <w:rPr>
      <w:sz w:val="24"/>
      <w:szCs w:val="24"/>
    </w:rPr>
  </w:style>
  <w:style w:type="character" w:styleId="758">
    <w:name w:val="Subtitle Char"/>
    <w:basedOn w:val="910"/>
    <w:link w:val="757"/>
    <w:uiPriority w:val="11"/>
    <w:rPr>
      <w:sz w:val="24"/>
      <w:szCs w:val="24"/>
    </w:rPr>
  </w:style>
  <w:style w:type="paragraph" w:styleId="759">
    <w:name w:val="Quote"/>
    <w:basedOn w:val="907"/>
    <w:next w:val="907"/>
    <w:link w:val="760"/>
    <w:uiPriority w:val="29"/>
    <w:qFormat/>
    <w:pPr>
      <w:ind w:left="720" w:right="720"/>
    </w:pPr>
    <w:rPr>
      <w:i/>
    </w:rPr>
  </w:style>
  <w:style w:type="character" w:styleId="760">
    <w:name w:val="Quote Char"/>
    <w:link w:val="759"/>
    <w:uiPriority w:val="29"/>
    <w:rPr>
      <w:i/>
    </w:rPr>
  </w:style>
  <w:style w:type="paragraph" w:styleId="761">
    <w:name w:val="Intense Quote"/>
    <w:basedOn w:val="907"/>
    <w:next w:val="907"/>
    <w:link w:val="76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2">
    <w:name w:val="Intense Quote Char"/>
    <w:link w:val="761"/>
    <w:uiPriority w:val="30"/>
    <w:rPr>
      <w:i/>
    </w:rPr>
  </w:style>
  <w:style w:type="character" w:styleId="763">
    <w:name w:val="Header Char"/>
    <w:basedOn w:val="910"/>
    <w:link w:val="915"/>
    <w:uiPriority w:val="99"/>
  </w:style>
  <w:style w:type="character" w:styleId="764">
    <w:name w:val="Footer Char"/>
    <w:basedOn w:val="910"/>
    <w:link w:val="923"/>
    <w:uiPriority w:val="99"/>
  </w:style>
  <w:style w:type="paragraph" w:styleId="765">
    <w:name w:val="Caption"/>
    <w:basedOn w:val="907"/>
    <w:next w:val="907"/>
    <w:link w:val="76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66">
    <w:name w:val="Caption Char"/>
    <w:basedOn w:val="910"/>
    <w:link w:val="765"/>
    <w:uiPriority w:val="35"/>
    <w:rPr>
      <w:b/>
      <w:bCs/>
      <w:color w:val="4f81bd" w:themeColor="accent1"/>
      <w:sz w:val="18"/>
      <w:szCs w:val="18"/>
    </w:rPr>
  </w:style>
  <w:style w:type="table" w:styleId="767">
    <w:name w:val="Table Grid Light"/>
    <w:basedOn w:val="91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8">
    <w:name w:val="Plain Table 1"/>
    <w:basedOn w:val="91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69">
    <w:name w:val="Plain Table 2"/>
    <w:basedOn w:val="91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70">
    <w:name w:val="Plain Table 3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1">
    <w:name w:val="Plain Table 4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Plain Table 5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3">
    <w:name w:val="Grid Table 1 Light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Grid Table 1 Light - Accent 1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Grid Table 1 Light - Accent 2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Grid Table 1 Light - Accent 3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Grid Table 1 Light - Accent 4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Grid Table 1 Light - Accent 5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Grid Table 1 Light - Accent 6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Grid Table 2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2 - Accent 1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2 - Accent 2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2 - Accent 3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2 - Accent 4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2 - Accent 5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2 - Accent 6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3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3 - Accent 1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3 - Accent 2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3 - Accent 3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3 - Accent 4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3 - Accent 5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3 - Accent 6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4"/>
    <w:basedOn w:val="9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5">
    <w:name w:val="Grid Table 4 - Accent 1"/>
    <w:basedOn w:val="9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6">
    <w:name w:val="Grid Table 4 - Accent 2"/>
    <w:basedOn w:val="9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7">
    <w:name w:val="Grid Table 4 - Accent 3"/>
    <w:basedOn w:val="9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8">
    <w:name w:val="Grid Table 4 - Accent 4"/>
    <w:basedOn w:val="9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9">
    <w:name w:val="Grid Table 4 - Accent 5"/>
    <w:basedOn w:val="9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0">
    <w:name w:val="Grid Table 4 - Accent 6"/>
    <w:basedOn w:val="9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01">
    <w:name w:val="Grid Table 5 Dark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02">
    <w:name w:val="Grid Table 5 Dark- Accent 1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03">
    <w:name w:val="Grid Table 5 Dark - Accent 2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04">
    <w:name w:val="Grid Table 5 Dark - Accent 3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05">
    <w:name w:val="Grid Table 5 Dark- Accent 4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06">
    <w:name w:val="Grid Table 5 Dark - Accent 5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07">
    <w:name w:val="Grid Table 5 Dark - Accent 6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08">
    <w:name w:val="Grid Table 6 Colorful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809">
    <w:name w:val="Grid Table 6 Colorful - Accent 1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810">
    <w:name w:val="Grid Table 6 Colorful - Accent 2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811">
    <w:name w:val="Grid Table 6 Colorful - Accent 3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812">
    <w:name w:val="Grid Table 6 Colorful - Accent 4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813">
    <w:name w:val="Grid Table 6 Colorful - Accent 5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14">
    <w:name w:val="Grid Table 6 Colorful - Accent 6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15">
    <w:name w:val="Grid Table 7 Colorful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7 Colorful - Accent 1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Grid Table 7 Colorful - Accent 2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Grid Table 7 Colorful - Accent 3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Grid Table 7 Colorful - Accent 4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Grid Table 7 Colorful - Accent 5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Grid Table 7 Colorful - Accent 6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List Table 1 Light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List Table 1 Light - Accent 1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List Table 1 Light - Accent 2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List Table 1 Light - Accent 3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List Table 1 Light - Accent 4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List Table 1 Light - Accent 5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List Table 1 Light - Accent 6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List Table 2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30">
    <w:name w:val="List Table 2 - Accent 1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31">
    <w:name w:val="List Table 2 - Accent 2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32">
    <w:name w:val="List Table 2 - Accent 3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33">
    <w:name w:val="List Table 2 - Accent 4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34">
    <w:name w:val="List Table 2 - Accent 5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35">
    <w:name w:val="List Table 2 - Accent 6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36">
    <w:name w:val="List Table 3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3 - Accent 1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List Table 3 - Accent 2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3 - Accent 3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List Table 3 - Accent 4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>
    <w:name w:val="List Table 3 - Accent 5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>
    <w:name w:val="List Table 3 - Accent 6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>
    <w:name w:val="List Table 4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>
    <w:name w:val="List Table 4 - Accent 1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List Table 4 - Accent 2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List Table 4 - Accent 3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List Table 4 - Accent 4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List Table 4 - Accent 5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List Table 4 - Accent 6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5 Dark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51">
    <w:name w:val="List Table 5 Dark - Accent 1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52">
    <w:name w:val="List Table 5 Dark - Accent 2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53">
    <w:name w:val="List Table 5 Dark - Accent 3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54">
    <w:name w:val="List Table 5 Dark - Accent 4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55">
    <w:name w:val="List Table 5 Dark - Accent 5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56">
    <w:name w:val="List Table 5 Dark - Accent 6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57">
    <w:name w:val="List Table 6 Colorful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58">
    <w:name w:val="List Table 6 Colorful - Accent 1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59">
    <w:name w:val="List Table 6 Colorful - Accent 2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60">
    <w:name w:val="List Table 6 Colorful - Accent 3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61">
    <w:name w:val="List Table 6 Colorful - Accent 4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62">
    <w:name w:val="List Table 6 Colorful - Accent 5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63">
    <w:name w:val="List Table 6 Colorful - Accent 6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64">
    <w:name w:val="List Table 7 Colorful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65">
    <w:name w:val="List Table 7 Colorful - Accent 1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66">
    <w:name w:val="List Table 7 Colorful - Accent 2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67">
    <w:name w:val="List Table 7 Colorful - Accent 3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68">
    <w:name w:val="List Table 7 Colorful - Accent 4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69">
    <w:name w:val="List Table 7 Colorful - Accent 5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70">
    <w:name w:val="List Table 7 Colorful - Accent 6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71">
    <w:name w:val="Lined - Accent"/>
    <w:basedOn w:val="9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2">
    <w:name w:val="Lined - Accent 1"/>
    <w:basedOn w:val="9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73">
    <w:name w:val="Lined - Accent 2"/>
    <w:basedOn w:val="9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74">
    <w:name w:val="Lined - Accent 3"/>
    <w:basedOn w:val="9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75">
    <w:name w:val="Lined - Accent 4"/>
    <w:basedOn w:val="9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76">
    <w:name w:val="Lined - Accent 5"/>
    <w:basedOn w:val="9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77">
    <w:name w:val="Lined - Accent 6"/>
    <w:basedOn w:val="9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78">
    <w:name w:val="Bordered &amp; Lined - Accent"/>
    <w:basedOn w:val="9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9">
    <w:name w:val="Bordered &amp; Lined - Accent 1"/>
    <w:basedOn w:val="9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80">
    <w:name w:val="Bordered &amp; Lined - Accent 2"/>
    <w:basedOn w:val="9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81">
    <w:name w:val="Bordered &amp; Lined - Accent 3"/>
    <w:basedOn w:val="9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82">
    <w:name w:val="Bordered &amp; Lined - Accent 4"/>
    <w:basedOn w:val="9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83">
    <w:name w:val="Bordered &amp; Lined - Accent 5"/>
    <w:basedOn w:val="9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84">
    <w:name w:val="Bordered &amp; Lined - Accent 6"/>
    <w:basedOn w:val="9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85">
    <w:name w:val="Bordered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86">
    <w:name w:val="Bordered - Accent 1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87">
    <w:name w:val="Bordered - Accent 2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88">
    <w:name w:val="Bordered - Accent 3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89">
    <w:name w:val="Bordered - Accent 4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90">
    <w:name w:val="Bordered - Accent 5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91">
    <w:name w:val="Bordered - Accent 6"/>
    <w:basedOn w:val="9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92">
    <w:name w:val="Footnote Text Char"/>
    <w:link w:val="987"/>
    <w:uiPriority w:val="99"/>
    <w:rPr>
      <w:sz w:val="18"/>
    </w:rPr>
  </w:style>
  <w:style w:type="paragraph" w:styleId="893">
    <w:name w:val="endnote text"/>
    <w:basedOn w:val="907"/>
    <w:link w:val="894"/>
    <w:uiPriority w:val="99"/>
    <w:semiHidden/>
    <w:unhideWhenUsed/>
    <w:pPr>
      <w:spacing w:after="0" w:line="240" w:lineRule="auto"/>
    </w:pPr>
    <w:rPr>
      <w:sz w:val="20"/>
    </w:rPr>
  </w:style>
  <w:style w:type="character" w:styleId="894">
    <w:name w:val="Endnote Text Char"/>
    <w:link w:val="893"/>
    <w:uiPriority w:val="99"/>
    <w:rPr>
      <w:sz w:val="20"/>
    </w:rPr>
  </w:style>
  <w:style w:type="character" w:styleId="895">
    <w:name w:val="endnote reference"/>
    <w:basedOn w:val="910"/>
    <w:uiPriority w:val="99"/>
    <w:semiHidden/>
    <w:unhideWhenUsed/>
    <w:rPr>
      <w:vertAlign w:val="superscript"/>
    </w:rPr>
  </w:style>
  <w:style w:type="paragraph" w:styleId="896">
    <w:name w:val="toc 1"/>
    <w:basedOn w:val="907"/>
    <w:next w:val="907"/>
    <w:uiPriority w:val="39"/>
    <w:unhideWhenUsed/>
    <w:pPr>
      <w:ind w:left="0" w:right="0" w:firstLine="0"/>
      <w:spacing w:after="57"/>
    </w:pPr>
  </w:style>
  <w:style w:type="paragraph" w:styleId="897">
    <w:name w:val="toc 2"/>
    <w:basedOn w:val="907"/>
    <w:next w:val="907"/>
    <w:uiPriority w:val="39"/>
    <w:unhideWhenUsed/>
    <w:pPr>
      <w:ind w:left="283" w:right="0" w:firstLine="0"/>
      <w:spacing w:after="57"/>
    </w:pPr>
  </w:style>
  <w:style w:type="paragraph" w:styleId="898">
    <w:name w:val="toc 3"/>
    <w:basedOn w:val="907"/>
    <w:next w:val="907"/>
    <w:uiPriority w:val="39"/>
    <w:unhideWhenUsed/>
    <w:pPr>
      <w:ind w:left="567" w:right="0" w:firstLine="0"/>
      <w:spacing w:after="57"/>
    </w:pPr>
  </w:style>
  <w:style w:type="paragraph" w:styleId="899">
    <w:name w:val="toc 4"/>
    <w:basedOn w:val="907"/>
    <w:next w:val="907"/>
    <w:uiPriority w:val="39"/>
    <w:unhideWhenUsed/>
    <w:pPr>
      <w:ind w:left="850" w:right="0" w:firstLine="0"/>
      <w:spacing w:after="57"/>
    </w:pPr>
  </w:style>
  <w:style w:type="paragraph" w:styleId="900">
    <w:name w:val="toc 5"/>
    <w:basedOn w:val="907"/>
    <w:next w:val="907"/>
    <w:uiPriority w:val="39"/>
    <w:unhideWhenUsed/>
    <w:pPr>
      <w:ind w:left="1134" w:right="0" w:firstLine="0"/>
      <w:spacing w:after="57"/>
    </w:pPr>
  </w:style>
  <w:style w:type="paragraph" w:styleId="901">
    <w:name w:val="toc 6"/>
    <w:basedOn w:val="907"/>
    <w:next w:val="907"/>
    <w:uiPriority w:val="39"/>
    <w:unhideWhenUsed/>
    <w:pPr>
      <w:ind w:left="1417" w:right="0" w:firstLine="0"/>
      <w:spacing w:after="57"/>
    </w:pPr>
  </w:style>
  <w:style w:type="paragraph" w:styleId="902">
    <w:name w:val="toc 7"/>
    <w:basedOn w:val="907"/>
    <w:next w:val="907"/>
    <w:uiPriority w:val="39"/>
    <w:unhideWhenUsed/>
    <w:pPr>
      <w:ind w:left="1701" w:right="0" w:firstLine="0"/>
      <w:spacing w:after="57"/>
    </w:pPr>
  </w:style>
  <w:style w:type="paragraph" w:styleId="903">
    <w:name w:val="toc 8"/>
    <w:basedOn w:val="907"/>
    <w:next w:val="907"/>
    <w:uiPriority w:val="39"/>
    <w:unhideWhenUsed/>
    <w:pPr>
      <w:ind w:left="1984" w:right="0" w:firstLine="0"/>
      <w:spacing w:after="57"/>
    </w:pPr>
  </w:style>
  <w:style w:type="paragraph" w:styleId="904">
    <w:name w:val="toc 9"/>
    <w:basedOn w:val="907"/>
    <w:next w:val="907"/>
    <w:uiPriority w:val="39"/>
    <w:unhideWhenUsed/>
    <w:pPr>
      <w:ind w:left="2268" w:right="0" w:firstLine="0"/>
      <w:spacing w:after="57"/>
    </w:pPr>
  </w:style>
  <w:style w:type="paragraph" w:styleId="905">
    <w:name w:val="TOC Heading"/>
    <w:uiPriority w:val="39"/>
    <w:unhideWhenUsed/>
  </w:style>
  <w:style w:type="paragraph" w:styleId="906">
    <w:name w:val="table of figures"/>
    <w:basedOn w:val="907"/>
    <w:next w:val="907"/>
    <w:uiPriority w:val="99"/>
    <w:unhideWhenUsed/>
    <w:pPr>
      <w:spacing w:after="0" w:afterAutospacing="0"/>
    </w:pPr>
  </w:style>
  <w:style w:type="paragraph" w:styleId="907" w:default="1">
    <w:name w:val="Normal"/>
    <w:qFormat/>
    <w:rPr>
      <w:rFonts w:ascii="Times New Roman" w:hAnsi="Times New Roman" w:eastAsia="Times New Roman"/>
    </w:rPr>
  </w:style>
  <w:style w:type="paragraph" w:styleId="908">
    <w:name w:val="Heading 1"/>
    <w:basedOn w:val="907"/>
    <w:link w:val="913"/>
    <w:uiPriority w:val="9"/>
    <w:qFormat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paragraph" w:styleId="909">
    <w:name w:val="Heading 2"/>
    <w:basedOn w:val="907"/>
    <w:next w:val="907"/>
    <w:link w:val="914"/>
    <w:uiPriority w:val="9"/>
    <w:semiHidden/>
    <w:unhideWhenUsed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styleId="910" w:default="1">
    <w:name w:val="Default Paragraph Font"/>
    <w:uiPriority w:val="1"/>
    <w:semiHidden/>
    <w:unhideWhenUsed/>
  </w:style>
  <w:style w:type="table" w:styleId="91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12" w:default="1">
    <w:name w:val="No List"/>
    <w:uiPriority w:val="99"/>
    <w:semiHidden/>
    <w:unhideWhenUsed/>
  </w:style>
  <w:style w:type="character" w:styleId="913" w:customStyle="1">
    <w:name w:val="Заголовок 1 Знак"/>
    <w:link w:val="908"/>
    <w:uiPriority w:val="9"/>
    <w:rPr>
      <w:rFonts w:ascii="Times New Roman" w:hAnsi="Times New Roman" w:eastAsia="Times New Roman"/>
      <w:b/>
      <w:bCs/>
      <w:sz w:val="48"/>
      <w:szCs w:val="48"/>
    </w:rPr>
  </w:style>
  <w:style w:type="character" w:styleId="914" w:customStyle="1">
    <w:name w:val="Заголовок 2 Знак"/>
    <w:link w:val="909"/>
    <w:uiPriority w:val="9"/>
    <w:semiHidden/>
    <w:rPr>
      <w:rFonts w:ascii="Cambria" w:hAnsi="Cambria" w:eastAsia="Times New Roman" w:cs="Times New Roman"/>
      <w:b/>
      <w:bCs/>
      <w:i/>
      <w:iCs/>
      <w:sz w:val="28"/>
      <w:szCs w:val="28"/>
    </w:rPr>
  </w:style>
  <w:style w:type="paragraph" w:styleId="915">
    <w:name w:val="Header"/>
    <w:basedOn w:val="907"/>
    <w:link w:val="916"/>
    <w:uiPriority w:val="99"/>
    <w:pPr>
      <w:tabs>
        <w:tab w:val="center" w:pos="4153" w:leader="none"/>
        <w:tab w:val="right" w:pos="8306" w:leader="none"/>
      </w:tabs>
    </w:pPr>
    <w:rPr>
      <w:sz w:val="24"/>
    </w:rPr>
  </w:style>
  <w:style w:type="character" w:styleId="916" w:customStyle="1">
    <w:name w:val="Верхний колонтитул Знак"/>
    <w:link w:val="915"/>
    <w:uiPriority w:val="99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917" w:customStyle="1">
    <w:name w:val="Адресные реквизиты"/>
    <w:basedOn w:val="918"/>
    <w:next w:val="918"/>
  </w:style>
  <w:style w:type="paragraph" w:styleId="918">
    <w:name w:val="Body Text"/>
    <w:basedOn w:val="907"/>
    <w:link w:val="919"/>
    <w:uiPriority w:val="99"/>
    <w:unhideWhenUsed/>
    <w:pPr>
      <w:spacing w:after="120"/>
    </w:pPr>
  </w:style>
  <w:style w:type="character" w:styleId="919" w:customStyle="1">
    <w:name w:val="Основной текст Знак"/>
    <w:link w:val="918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20">
    <w:name w:val="page number"/>
    <w:basedOn w:val="910"/>
  </w:style>
  <w:style w:type="paragraph" w:styleId="921">
    <w:name w:val="Body Text Indent"/>
    <w:basedOn w:val="907"/>
    <w:link w:val="922"/>
    <w:pPr>
      <w:ind w:right="506" w:firstLine="720"/>
      <w:jc w:val="center"/>
    </w:pPr>
    <w:rPr>
      <w:sz w:val="28"/>
    </w:rPr>
  </w:style>
  <w:style w:type="character" w:styleId="922" w:customStyle="1">
    <w:name w:val="Основной текст с отступом Знак"/>
    <w:link w:val="921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923">
    <w:name w:val="Footer"/>
    <w:basedOn w:val="907"/>
    <w:link w:val="924"/>
    <w:uiPriority w:val="99"/>
    <w:pPr>
      <w:tabs>
        <w:tab w:val="center" w:pos="4153" w:leader="none"/>
        <w:tab w:val="right" w:pos="8306" w:leader="none"/>
      </w:tabs>
    </w:pPr>
  </w:style>
  <w:style w:type="character" w:styleId="924" w:customStyle="1">
    <w:name w:val="Нижний колонтитул Знак"/>
    <w:link w:val="923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925" w:customStyle="1">
    <w:name w:val="Обращение"/>
    <w:basedOn w:val="907"/>
    <w:next w:val="907"/>
    <w:pPr>
      <w:jc w:val="center"/>
      <w:spacing w:before="240" w:after="120"/>
    </w:pPr>
    <w:rPr>
      <w:b/>
      <w:sz w:val="26"/>
    </w:rPr>
  </w:style>
  <w:style w:type="paragraph" w:styleId="926">
    <w:name w:val="Body Text 3"/>
    <w:basedOn w:val="907"/>
    <w:link w:val="927"/>
    <w:pPr>
      <w:spacing w:after="120"/>
    </w:pPr>
    <w:rPr>
      <w:sz w:val="16"/>
      <w:szCs w:val="16"/>
    </w:rPr>
  </w:style>
  <w:style w:type="character" w:styleId="927" w:customStyle="1">
    <w:name w:val="Основной текст 3 Знак"/>
    <w:link w:val="926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928" w:customStyle="1">
    <w:name w:val="ConsPlusNonformat"/>
    <w:uiPriority w:val="99"/>
    <w:rPr>
      <w:rFonts w:ascii="Courier New" w:hAnsi="Courier New" w:eastAsia="Times New Roman" w:cs="Courier New"/>
    </w:rPr>
  </w:style>
  <w:style w:type="paragraph" w:styleId="929">
    <w:name w:val="Balloon Text"/>
    <w:basedOn w:val="907"/>
    <w:semiHidden/>
    <w:rPr>
      <w:rFonts w:ascii="Tahoma" w:hAnsi="Tahoma" w:cs="Tahoma"/>
      <w:sz w:val="16"/>
      <w:szCs w:val="16"/>
    </w:rPr>
  </w:style>
  <w:style w:type="paragraph" w:styleId="930" w:customStyle="1">
    <w:name w:val="Адресат"/>
    <w:basedOn w:val="907"/>
    <w:pPr>
      <w:spacing w:before="120"/>
    </w:pPr>
    <w:rPr>
      <w:b/>
      <w:sz w:val="26"/>
    </w:rPr>
  </w:style>
  <w:style w:type="table" w:styleId="931">
    <w:name w:val="Table Grid"/>
    <w:basedOn w:val="911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932">
    <w:name w:val="Hyperlink"/>
    <w:uiPriority w:val="99"/>
    <w:rPr>
      <w:color w:val="0000ff"/>
      <w:u w:val="single"/>
    </w:rPr>
  </w:style>
  <w:style w:type="paragraph" w:styleId="933" w:customStyle="1">
    <w:name w:val="p2"/>
    <w:basedOn w:val="907"/>
    <w:pPr>
      <w:spacing w:before="100" w:beforeAutospacing="1" w:after="100" w:afterAutospacing="1"/>
    </w:pPr>
    <w:rPr>
      <w:sz w:val="24"/>
      <w:szCs w:val="24"/>
    </w:rPr>
  </w:style>
  <w:style w:type="character" w:styleId="934" w:customStyle="1">
    <w:name w:val="s1"/>
  </w:style>
  <w:style w:type="character" w:styleId="935" w:customStyle="1">
    <w:name w:val="apple-converted-space"/>
  </w:style>
  <w:style w:type="paragraph" w:styleId="936" w:customStyle="1">
    <w:name w:val="p3"/>
    <w:basedOn w:val="907"/>
    <w:pPr>
      <w:spacing w:before="100" w:beforeAutospacing="1" w:after="100" w:afterAutospacing="1"/>
    </w:pPr>
    <w:rPr>
      <w:sz w:val="24"/>
      <w:szCs w:val="24"/>
    </w:rPr>
  </w:style>
  <w:style w:type="paragraph" w:styleId="937" w:customStyle="1">
    <w:name w:val="p4"/>
    <w:basedOn w:val="907"/>
    <w:pPr>
      <w:spacing w:before="100" w:beforeAutospacing="1" w:after="100" w:afterAutospacing="1"/>
    </w:pPr>
    <w:rPr>
      <w:sz w:val="24"/>
      <w:szCs w:val="24"/>
    </w:rPr>
  </w:style>
  <w:style w:type="paragraph" w:styleId="938" w:customStyle="1">
    <w:name w:val="p5"/>
    <w:basedOn w:val="907"/>
    <w:pPr>
      <w:spacing w:before="100" w:beforeAutospacing="1" w:after="100" w:afterAutospacing="1"/>
    </w:pPr>
    <w:rPr>
      <w:sz w:val="24"/>
      <w:szCs w:val="24"/>
    </w:rPr>
  </w:style>
  <w:style w:type="paragraph" w:styleId="939" w:customStyle="1">
    <w:name w:val="p6"/>
    <w:basedOn w:val="907"/>
    <w:pPr>
      <w:spacing w:before="100" w:beforeAutospacing="1" w:after="100" w:afterAutospacing="1"/>
    </w:pPr>
    <w:rPr>
      <w:sz w:val="24"/>
      <w:szCs w:val="24"/>
    </w:rPr>
  </w:style>
  <w:style w:type="paragraph" w:styleId="940" w:customStyle="1">
    <w:name w:val="p7"/>
    <w:basedOn w:val="907"/>
    <w:pPr>
      <w:spacing w:before="100" w:beforeAutospacing="1" w:after="100" w:afterAutospacing="1"/>
    </w:pPr>
    <w:rPr>
      <w:sz w:val="24"/>
      <w:szCs w:val="24"/>
    </w:rPr>
  </w:style>
  <w:style w:type="paragraph" w:styleId="941" w:customStyle="1">
    <w:name w:val="p8"/>
    <w:basedOn w:val="907"/>
    <w:pPr>
      <w:spacing w:before="100" w:beforeAutospacing="1" w:after="100" w:afterAutospacing="1"/>
    </w:pPr>
    <w:rPr>
      <w:sz w:val="24"/>
      <w:szCs w:val="24"/>
    </w:rPr>
  </w:style>
  <w:style w:type="character" w:styleId="942" w:customStyle="1">
    <w:name w:val="s2"/>
  </w:style>
  <w:style w:type="character" w:styleId="943" w:customStyle="1">
    <w:name w:val="s3"/>
  </w:style>
  <w:style w:type="paragraph" w:styleId="944" w:customStyle="1">
    <w:name w:val="p9"/>
    <w:basedOn w:val="907"/>
    <w:pPr>
      <w:spacing w:before="100" w:beforeAutospacing="1" w:after="100" w:afterAutospacing="1"/>
    </w:pPr>
    <w:rPr>
      <w:sz w:val="24"/>
      <w:szCs w:val="24"/>
    </w:rPr>
  </w:style>
  <w:style w:type="character" w:styleId="945" w:customStyle="1">
    <w:name w:val="s4"/>
  </w:style>
  <w:style w:type="paragraph" w:styleId="946" w:customStyle="1">
    <w:name w:val="p10"/>
    <w:basedOn w:val="907"/>
    <w:pPr>
      <w:spacing w:before="100" w:beforeAutospacing="1" w:after="100" w:afterAutospacing="1"/>
    </w:pPr>
    <w:rPr>
      <w:sz w:val="24"/>
      <w:szCs w:val="24"/>
    </w:rPr>
  </w:style>
  <w:style w:type="paragraph" w:styleId="947" w:customStyle="1">
    <w:name w:val="p11"/>
    <w:basedOn w:val="907"/>
    <w:pPr>
      <w:spacing w:before="100" w:beforeAutospacing="1" w:after="100" w:afterAutospacing="1"/>
    </w:pPr>
    <w:rPr>
      <w:sz w:val="24"/>
      <w:szCs w:val="24"/>
    </w:rPr>
  </w:style>
  <w:style w:type="character" w:styleId="948" w:customStyle="1">
    <w:name w:val="s6"/>
  </w:style>
  <w:style w:type="character" w:styleId="949" w:customStyle="1">
    <w:name w:val="s7"/>
  </w:style>
  <w:style w:type="paragraph" w:styleId="950" w:customStyle="1">
    <w:name w:val="p13"/>
    <w:basedOn w:val="907"/>
    <w:pPr>
      <w:spacing w:before="100" w:beforeAutospacing="1" w:after="100" w:afterAutospacing="1"/>
    </w:pPr>
    <w:rPr>
      <w:sz w:val="24"/>
      <w:szCs w:val="24"/>
    </w:rPr>
  </w:style>
  <w:style w:type="paragraph" w:styleId="951" w:customStyle="1">
    <w:name w:val="p14"/>
    <w:basedOn w:val="907"/>
    <w:pPr>
      <w:spacing w:before="100" w:beforeAutospacing="1" w:after="100" w:afterAutospacing="1"/>
    </w:pPr>
    <w:rPr>
      <w:sz w:val="24"/>
      <w:szCs w:val="24"/>
    </w:rPr>
  </w:style>
  <w:style w:type="paragraph" w:styleId="952" w:customStyle="1">
    <w:name w:val="p15"/>
    <w:basedOn w:val="907"/>
    <w:pPr>
      <w:spacing w:before="100" w:beforeAutospacing="1" w:after="100" w:afterAutospacing="1"/>
    </w:pPr>
    <w:rPr>
      <w:sz w:val="24"/>
      <w:szCs w:val="24"/>
    </w:rPr>
  </w:style>
  <w:style w:type="paragraph" w:styleId="953" w:customStyle="1">
    <w:name w:val="p16"/>
    <w:basedOn w:val="907"/>
    <w:pPr>
      <w:spacing w:before="100" w:beforeAutospacing="1" w:after="100" w:afterAutospacing="1"/>
    </w:pPr>
    <w:rPr>
      <w:sz w:val="24"/>
      <w:szCs w:val="24"/>
    </w:rPr>
  </w:style>
  <w:style w:type="paragraph" w:styleId="954" w:customStyle="1">
    <w:name w:val="ConsPlusNormal"/>
    <w:rPr>
      <w:rFonts w:ascii="Times New Roman" w:hAnsi="Times New Roman"/>
      <w:sz w:val="26"/>
      <w:szCs w:val="26"/>
      <w:lang w:eastAsia="en-US"/>
    </w:rPr>
  </w:style>
  <w:style w:type="character" w:styleId="955" w:customStyle="1">
    <w:name w:val="Основной текст_"/>
    <w:link w:val="956"/>
    <w:rPr>
      <w:rFonts w:ascii="Times New Roman" w:hAnsi="Times New Roman"/>
      <w:sz w:val="24"/>
      <w:szCs w:val="24"/>
      <w:shd w:val="clear" w:color="auto" w:fill="ffffff"/>
    </w:rPr>
  </w:style>
  <w:style w:type="paragraph" w:styleId="956" w:customStyle="1">
    <w:name w:val="Основной текст1"/>
    <w:basedOn w:val="907"/>
    <w:link w:val="955"/>
    <w:pPr>
      <w:jc w:val="both"/>
      <w:spacing w:before="240" w:line="298" w:lineRule="exact"/>
      <w:shd w:val="clear" w:color="auto" w:fill="ffffff"/>
    </w:pPr>
    <w:rPr>
      <w:rFonts w:eastAsia="Calibri"/>
      <w:sz w:val="24"/>
      <w:szCs w:val="24"/>
    </w:rPr>
  </w:style>
  <w:style w:type="character" w:styleId="957" w:customStyle="1">
    <w:name w:val="Сноска (3)_"/>
    <w:link w:val="958"/>
    <w:rPr>
      <w:rFonts w:ascii="Consolas" w:hAnsi="Consolas" w:eastAsia="Consolas" w:cs="Consolas"/>
      <w:sz w:val="13"/>
      <w:szCs w:val="13"/>
      <w:shd w:val="clear" w:color="auto" w:fill="ffffff"/>
    </w:rPr>
  </w:style>
  <w:style w:type="paragraph" w:styleId="958" w:customStyle="1">
    <w:name w:val="Сноска (3)"/>
    <w:basedOn w:val="907"/>
    <w:link w:val="957"/>
    <w:pPr>
      <w:spacing w:line="0" w:lineRule="atLeast"/>
      <w:shd w:val="clear" w:color="auto" w:fill="ffffff"/>
    </w:pPr>
    <w:rPr>
      <w:rFonts w:ascii="Consolas" w:hAnsi="Consolas" w:eastAsia="Consolas" w:cs="Consolas"/>
      <w:sz w:val="13"/>
      <w:szCs w:val="13"/>
    </w:rPr>
  </w:style>
  <w:style w:type="character" w:styleId="959">
    <w:name w:val="Strong"/>
    <w:uiPriority w:val="22"/>
    <w:rPr>
      <w:b/>
      <w:bCs/>
    </w:rPr>
  </w:style>
  <w:style w:type="paragraph" w:styleId="960">
    <w:name w:val="List Paragraph"/>
    <w:basedOn w:val="907"/>
    <w:uiPriority w:val="34"/>
    <w:qFormat/>
    <w:pPr>
      <w:ind w:left="720"/>
      <w:keepNext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961" w:customStyle="1">
    <w:name w:val="Основной текст2"/>
    <w:basedOn w:val="907"/>
    <w:pPr>
      <w:spacing w:after="60" w:line="278" w:lineRule="exact"/>
      <w:shd w:val="clear" w:color="auto" w:fill="ffffff"/>
    </w:pPr>
    <w:rPr>
      <w:color w:val="000000"/>
      <w:sz w:val="23"/>
      <w:szCs w:val="23"/>
      <w:lang w:val="ru"/>
    </w:rPr>
  </w:style>
  <w:style w:type="character" w:styleId="962" w:customStyle="1">
    <w:name w:val="Основной текст + 10 pt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paragraph" w:styleId="963" w:customStyle="1">
    <w:name w:val="Основной текст3"/>
    <w:basedOn w:val="907"/>
    <w:pPr>
      <w:jc w:val="center"/>
      <w:spacing w:line="299" w:lineRule="exact"/>
      <w:shd w:val="clear" w:color="auto" w:fill="ffffff"/>
    </w:pPr>
    <w:rPr>
      <w:color w:val="000000"/>
      <w:sz w:val="24"/>
      <w:szCs w:val="24"/>
      <w:lang w:val="ru"/>
    </w:rPr>
  </w:style>
  <w:style w:type="paragraph" w:styleId="964" w:customStyle="1">
    <w:name w:val="Основной текст5"/>
    <w:basedOn w:val="907"/>
    <w:pPr>
      <w:ind w:hanging="340"/>
      <w:jc w:val="both"/>
      <w:spacing w:after="300" w:line="323" w:lineRule="exact"/>
      <w:shd w:val="clear" w:color="auto" w:fill="ffffff"/>
    </w:pPr>
    <w:rPr>
      <w:color w:val="000000"/>
      <w:sz w:val="27"/>
      <w:szCs w:val="27"/>
      <w:lang w:val="ru"/>
    </w:rPr>
  </w:style>
  <w:style w:type="character" w:styleId="965" w:customStyle="1">
    <w:name w:val="Основной текст (2)_"/>
    <w:link w:val="966"/>
    <w:uiPriority w:val="99"/>
    <w:rPr>
      <w:rFonts w:ascii="Times New Roman" w:hAnsi="Times New Roman" w:eastAsia="Times New Roman"/>
      <w:sz w:val="23"/>
      <w:szCs w:val="23"/>
      <w:shd w:val="clear" w:color="auto" w:fill="ffffff"/>
    </w:rPr>
  </w:style>
  <w:style w:type="paragraph" w:styleId="966" w:customStyle="1">
    <w:name w:val="Основной текст (2)"/>
    <w:basedOn w:val="907"/>
    <w:link w:val="965"/>
    <w:uiPriority w:val="99"/>
    <w:pPr>
      <w:spacing w:line="279" w:lineRule="exact"/>
      <w:shd w:val="clear" w:color="auto" w:fill="ffffff"/>
    </w:pPr>
    <w:rPr>
      <w:sz w:val="23"/>
      <w:szCs w:val="23"/>
    </w:rPr>
  </w:style>
  <w:style w:type="character" w:styleId="967" w:customStyle="1">
    <w:name w:val="Подпись к картинке_"/>
    <w:link w:val="968"/>
    <w:rPr>
      <w:rFonts w:ascii="Times New Roman" w:hAnsi="Times New Roman" w:eastAsia="Times New Roman"/>
      <w:sz w:val="12"/>
      <w:szCs w:val="12"/>
      <w:shd w:val="clear" w:color="auto" w:fill="ffffff"/>
    </w:rPr>
  </w:style>
  <w:style w:type="paragraph" w:styleId="968" w:customStyle="1">
    <w:name w:val="Подпись к картинке"/>
    <w:basedOn w:val="907"/>
    <w:link w:val="967"/>
    <w:pPr>
      <w:spacing w:line="0" w:lineRule="atLeast"/>
      <w:shd w:val="clear" w:color="auto" w:fill="ffffff"/>
    </w:pPr>
    <w:rPr>
      <w:sz w:val="12"/>
      <w:szCs w:val="12"/>
    </w:rPr>
  </w:style>
  <w:style w:type="character" w:styleId="969" w:customStyle="1">
    <w:name w:val="Заголовок №1_"/>
    <w:link w:val="970"/>
    <w:rPr>
      <w:rFonts w:ascii="Times New Roman" w:hAnsi="Times New Roman" w:eastAsia="Times New Roman"/>
      <w:sz w:val="25"/>
      <w:szCs w:val="25"/>
      <w:shd w:val="clear" w:color="auto" w:fill="ffffff"/>
    </w:rPr>
  </w:style>
  <w:style w:type="paragraph" w:styleId="970" w:customStyle="1">
    <w:name w:val="Заголовок №1"/>
    <w:basedOn w:val="907"/>
    <w:link w:val="969"/>
    <w:pPr>
      <w:jc w:val="center"/>
      <w:spacing w:line="317" w:lineRule="exact"/>
      <w:shd w:val="clear" w:color="auto" w:fill="ffffff"/>
      <w:outlineLvl w:val="0"/>
    </w:pPr>
    <w:rPr>
      <w:sz w:val="25"/>
      <w:szCs w:val="25"/>
    </w:rPr>
  </w:style>
  <w:style w:type="character" w:styleId="971" w:customStyle="1">
    <w:name w:val="Основной текст + Полужирный"/>
    <w:uiPriority w:val="99"/>
    <w:rPr>
      <w:rFonts w:ascii="Times New Roman" w:hAnsi="Times New Roman" w:eastAsia="Times New Roman" w:cs="Times New Roman"/>
      <w:b/>
      <w:bCs/>
      <w:i w:val="0"/>
      <w:iCs w:val="0"/>
      <w:smallCaps w:val="0"/>
      <w:strike w:val="0"/>
      <w:spacing w:val="0"/>
      <w:sz w:val="25"/>
      <w:szCs w:val="25"/>
      <w:shd w:val="clear" w:color="auto" w:fill="ffffff"/>
    </w:rPr>
  </w:style>
  <w:style w:type="paragraph" w:styleId="972" w:customStyle="1">
    <w:name w:val="Основной текст4"/>
    <w:basedOn w:val="907"/>
    <w:pPr>
      <w:spacing w:line="254" w:lineRule="exact"/>
      <w:shd w:val="clear" w:color="auto" w:fill="ffffff"/>
    </w:pPr>
    <w:rPr>
      <w:color w:val="000000"/>
      <w:lang w:val="ru"/>
    </w:rPr>
  </w:style>
  <w:style w:type="paragraph" w:styleId="973">
    <w:name w:val="No Spacing"/>
    <w:uiPriority w:val="1"/>
    <w:qFormat/>
    <w:rPr>
      <w:sz w:val="22"/>
      <w:szCs w:val="22"/>
      <w:lang w:eastAsia="en-US"/>
    </w:rPr>
  </w:style>
  <w:style w:type="character" w:styleId="974" w:customStyle="1">
    <w:name w:val="Основной текст9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styleId="975" w:customStyle="1">
    <w:name w:val="Основной текст (5)_"/>
    <w:link w:val="976"/>
    <w:rPr>
      <w:rFonts w:ascii="Times New Roman" w:hAnsi="Times New Roman" w:eastAsia="Times New Roman"/>
      <w:sz w:val="24"/>
      <w:szCs w:val="24"/>
      <w:shd w:val="clear" w:color="auto" w:fill="ffffff"/>
    </w:rPr>
  </w:style>
  <w:style w:type="paragraph" w:styleId="976" w:customStyle="1">
    <w:name w:val="Основной текст (5)"/>
    <w:basedOn w:val="907"/>
    <w:link w:val="975"/>
    <w:pPr>
      <w:jc w:val="center"/>
      <w:spacing w:line="293" w:lineRule="exact"/>
      <w:shd w:val="clear" w:color="auto" w:fill="ffffff"/>
    </w:pPr>
    <w:rPr>
      <w:sz w:val="24"/>
      <w:szCs w:val="24"/>
    </w:rPr>
  </w:style>
  <w:style w:type="character" w:styleId="977" w:customStyle="1">
    <w:name w:val="Основной текст (5) + Не полужирный"/>
    <w:rPr>
      <w:rFonts w:ascii="Times New Roman" w:hAnsi="Times New Roman" w:eastAsia="Times New Roman" w:cs="Times New Roman"/>
      <w:b/>
      <w:bCs/>
      <w:sz w:val="24"/>
      <w:szCs w:val="24"/>
      <w:shd w:val="clear" w:color="auto" w:fill="ffffff"/>
    </w:rPr>
  </w:style>
  <w:style w:type="character" w:styleId="978" w:customStyle="1">
    <w:name w:val="Основной текст (7)_"/>
    <w:link w:val="979"/>
    <w:rPr>
      <w:rFonts w:ascii="Arial" w:hAnsi="Arial" w:eastAsia="Arial" w:cs="Arial"/>
      <w:sz w:val="36"/>
      <w:szCs w:val="36"/>
      <w:shd w:val="clear" w:color="auto" w:fill="ffffff"/>
    </w:rPr>
  </w:style>
  <w:style w:type="paragraph" w:styleId="979" w:customStyle="1">
    <w:name w:val="Основной текст (7)"/>
    <w:basedOn w:val="907"/>
    <w:link w:val="978"/>
    <w:pPr>
      <w:spacing w:before="60" w:line="0" w:lineRule="atLeast"/>
      <w:shd w:val="clear" w:color="auto" w:fill="ffffff"/>
    </w:pPr>
    <w:rPr>
      <w:rFonts w:ascii="Arial" w:hAnsi="Arial" w:eastAsia="Arial" w:cs="Arial"/>
      <w:sz w:val="36"/>
      <w:szCs w:val="36"/>
    </w:rPr>
  </w:style>
  <w:style w:type="character" w:styleId="980" w:customStyle="1">
    <w:name w:val="Основной текст10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paragraph" w:styleId="981" w:customStyle="1">
    <w:name w:val="Основной текст18"/>
    <w:basedOn w:val="907"/>
    <w:pPr>
      <w:spacing w:after="240" w:line="274" w:lineRule="exact"/>
      <w:shd w:val="clear" w:color="auto" w:fill="ffffff"/>
    </w:pPr>
    <w:rPr>
      <w:color w:val="000000"/>
      <w:sz w:val="22"/>
      <w:szCs w:val="22"/>
      <w:lang w:val="ru"/>
    </w:rPr>
  </w:style>
  <w:style w:type="character" w:styleId="982" w:customStyle="1">
    <w:name w:val="Основной текст (3)_"/>
    <w:link w:val="983"/>
    <w:uiPriority w:val="99"/>
    <w:rPr>
      <w:rFonts w:ascii="Times New Roman" w:hAnsi="Times New Roman"/>
      <w:sz w:val="25"/>
      <w:szCs w:val="25"/>
      <w:shd w:val="clear" w:color="auto" w:fill="ffffff"/>
    </w:rPr>
  </w:style>
  <w:style w:type="paragraph" w:styleId="983" w:customStyle="1">
    <w:name w:val="Основной текст (3)"/>
    <w:basedOn w:val="907"/>
    <w:link w:val="982"/>
    <w:uiPriority w:val="99"/>
    <w:pPr>
      <w:jc w:val="both"/>
      <w:spacing w:after="240" w:line="298" w:lineRule="exact"/>
      <w:shd w:val="clear" w:color="auto" w:fill="ffffff"/>
    </w:pPr>
    <w:rPr>
      <w:rFonts w:eastAsia="Calibri"/>
      <w:sz w:val="25"/>
      <w:szCs w:val="25"/>
    </w:rPr>
  </w:style>
  <w:style w:type="character" w:styleId="984" w:customStyle="1">
    <w:name w:val="Основной текст (6)_"/>
    <w:link w:val="985"/>
    <w:rPr>
      <w:rFonts w:ascii="Times New Roman" w:hAnsi="Times New Roman"/>
      <w:b/>
      <w:bCs/>
      <w:sz w:val="22"/>
      <w:szCs w:val="22"/>
      <w:shd w:val="clear" w:color="auto" w:fill="ffffff"/>
    </w:rPr>
  </w:style>
  <w:style w:type="paragraph" w:styleId="985" w:customStyle="1">
    <w:name w:val="Основной текст (6)1"/>
    <w:basedOn w:val="907"/>
    <w:link w:val="984"/>
    <w:uiPriority w:val="99"/>
    <w:pPr>
      <w:jc w:val="center"/>
      <w:spacing w:line="264" w:lineRule="exact"/>
      <w:shd w:val="clear" w:color="auto" w:fill="ffffff"/>
    </w:pPr>
    <w:rPr>
      <w:rFonts w:eastAsia="Calibri"/>
      <w:b/>
      <w:bCs/>
      <w:sz w:val="22"/>
      <w:szCs w:val="22"/>
    </w:rPr>
  </w:style>
  <w:style w:type="character" w:styleId="986" w:customStyle="1">
    <w:name w:val="Основной текст + Полужирный4"/>
    <w:uiPriority w:val="99"/>
    <w:rPr>
      <w:rFonts w:ascii="Times New Roman" w:hAnsi="Times New Roman" w:cs="Times New Roman"/>
      <w:b/>
      <w:bCs/>
      <w:spacing w:val="0"/>
      <w:sz w:val="22"/>
      <w:szCs w:val="22"/>
    </w:rPr>
  </w:style>
  <w:style w:type="paragraph" w:styleId="987">
    <w:name w:val="footnote text"/>
    <w:basedOn w:val="907"/>
    <w:link w:val="988"/>
    <w:uiPriority w:val="99"/>
  </w:style>
  <w:style w:type="character" w:styleId="988" w:customStyle="1">
    <w:name w:val="Текст сноски Знак"/>
    <w:link w:val="987"/>
    <w:uiPriority w:val="99"/>
    <w:rPr>
      <w:rFonts w:ascii="Times New Roman" w:hAnsi="Times New Roman" w:eastAsia="Times New Roman"/>
    </w:rPr>
  </w:style>
  <w:style w:type="character" w:styleId="989">
    <w:name w:val="footnote reference"/>
    <w:uiPriority w:val="99"/>
    <w:rPr>
      <w:vertAlign w:val="superscript"/>
    </w:rPr>
  </w:style>
  <w:style w:type="paragraph" w:styleId="990" w:customStyle="1">
    <w:name w:val="Default"/>
    <w:rPr>
      <w:rFonts w:ascii="Times New Roman" w:hAnsi="Times New Roman"/>
      <w:color w:val="000000"/>
      <w:sz w:val="24"/>
      <w:szCs w:val="24"/>
      <w:lang w:eastAsia="en-US"/>
    </w:rPr>
  </w:style>
  <w:style w:type="character" w:styleId="991" w:customStyle="1">
    <w:name w:val="nobr"/>
  </w:style>
  <w:style w:type="paragraph" w:styleId="992" w:customStyle="1">
    <w:name w:val="ConsPlusTitle"/>
    <w:pPr>
      <w:widowControl w:val="off"/>
    </w:pPr>
    <w:rPr>
      <w:rFonts w:ascii="Arial" w:hAnsi="Arial" w:eastAsia="Times New Roman" w:cs="Arial"/>
      <w:b/>
      <w:bCs/>
    </w:rPr>
  </w:style>
  <w:style w:type="paragraph" w:styleId="993">
    <w:name w:val="Normal (Web)"/>
    <w:basedOn w:val="907"/>
    <w:uiPriority w:val="99"/>
    <w:semiHidden/>
    <w:unhideWhenUsed/>
    <w:pPr>
      <w:spacing w:before="100" w:beforeAutospacing="1" w:after="100" w:afterAutospacing="1"/>
    </w:pPr>
    <w:rPr>
      <w:sz w:val="24"/>
      <w:szCs w:val="24"/>
    </w:rPr>
  </w:style>
  <w:style w:type="paragraph" w:styleId="994" w:customStyle="1">
    <w:name w:val="Основной текст (2)1"/>
    <w:basedOn w:val="907"/>
    <w:uiPriority w:val="99"/>
    <w:pPr>
      <w:spacing w:line="298" w:lineRule="exact"/>
      <w:shd w:val="clear" w:color="auto" w:fill="ffffff"/>
    </w:pPr>
    <w:rPr>
      <w:rFonts w:eastAsia="Arial Unicode MS"/>
      <w:sz w:val="24"/>
      <w:szCs w:val="24"/>
    </w:rPr>
  </w:style>
  <w:style w:type="character" w:styleId="995">
    <w:name w:val="Emphasis"/>
    <w:uiPriority w:val="20"/>
    <w:rPr>
      <w:i/>
      <w:iCs/>
    </w:rPr>
  </w:style>
  <w:style w:type="paragraph" w:styleId="996" w:customStyle="1">
    <w:name w:val="rtejustify"/>
    <w:basedOn w:val="907"/>
    <w:pPr>
      <w:spacing w:before="100" w:beforeAutospacing="1" w:after="100" w:afterAutospacing="1"/>
    </w:pPr>
    <w:rPr>
      <w:sz w:val="24"/>
      <w:szCs w:val="24"/>
    </w:rPr>
  </w:style>
  <w:style w:type="character" w:styleId="997" w:customStyle="1">
    <w:name w:val="Штрих-код_"/>
    <w:link w:val="998"/>
    <w:uiPriority w:val="99"/>
    <w:rPr>
      <w:rFonts w:ascii="Times New Roman" w:hAnsi="Times New Roman"/>
      <w:shd w:val="clear" w:color="auto" w:fill="ffffff"/>
    </w:rPr>
  </w:style>
  <w:style w:type="paragraph" w:styleId="998" w:customStyle="1">
    <w:name w:val="Штрих-код"/>
    <w:basedOn w:val="907"/>
    <w:link w:val="997"/>
    <w:uiPriority w:val="99"/>
    <w:pPr>
      <w:shd w:val="clear" w:color="auto" w:fill="ffffff"/>
    </w:pPr>
    <w:rPr>
      <w:rFonts w:eastAsia="Calibri"/>
    </w:rPr>
  </w:style>
  <w:style w:type="paragraph" w:styleId="999" w:customStyle="1">
    <w:name w:val="Знак"/>
    <w:basedOn w:val="907"/>
    <w:pPr>
      <w:spacing w:after="160" w:line="240" w:lineRule="exact"/>
    </w:pPr>
    <w:rPr>
      <w:rFonts w:ascii="Verdana" w:hAnsi="Verdana"/>
      <w:lang w:val="en-US" w:eastAsia="en-US"/>
    </w:rPr>
  </w:style>
  <w:style w:type="character" w:styleId="1000" w:customStyle="1">
    <w:name w:val="Основной текст + 12 pt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shd w:val="clear" w:color="auto" w:fill="ffffff"/>
    </w:rPr>
  </w:style>
  <w:style w:type="character" w:styleId="1001" w:customStyle="1">
    <w:name w:val="Основной текст + Интервал 1 pt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pacing w:val="20"/>
      <w:sz w:val="24"/>
      <w:szCs w:val="24"/>
      <w:shd w:val="clear" w:color="auto" w:fill="ffffff"/>
    </w:rPr>
  </w:style>
  <w:style w:type="paragraph" w:styleId="1002" w:customStyle="1">
    <w:name w:val="Основной текст (6)"/>
    <w:basedOn w:val="907"/>
    <w:pPr>
      <w:spacing w:line="0" w:lineRule="atLeast"/>
      <w:shd w:val="clear" w:color="auto" w:fill="ffffff"/>
    </w:pPr>
    <w:rPr>
      <w:color w:val="000000"/>
      <w:sz w:val="25"/>
      <w:szCs w:val="25"/>
      <w:lang w:val="ru"/>
    </w:rPr>
  </w:style>
  <w:style w:type="character" w:styleId="1003" w:customStyle="1">
    <w:name w:val="Подпись к картинке (2)_"/>
    <w:link w:val="1004"/>
    <w:rPr>
      <w:rFonts w:ascii="Times New Roman" w:hAnsi="Times New Roman" w:eastAsia="Times New Roman"/>
      <w:sz w:val="26"/>
      <w:szCs w:val="26"/>
      <w:shd w:val="clear" w:color="auto" w:fill="ffffff"/>
    </w:rPr>
  </w:style>
  <w:style w:type="paragraph" w:styleId="1004" w:customStyle="1">
    <w:name w:val="Подпись к картинке (2)"/>
    <w:basedOn w:val="907"/>
    <w:link w:val="1003"/>
    <w:pPr>
      <w:ind w:firstLine="720"/>
      <w:spacing w:line="322" w:lineRule="exact"/>
      <w:shd w:val="clear" w:color="auto" w:fill="ffffff"/>
    </w:pPr>
    <w:rPr>
      <w:sz w:val="26"/>
      <w:szCs w:val="26"/>
    </w:rPr>
  </w:style>
  <w:style w:type="paragraph" w:styleId="1005">
    <w:name w:val="Body Text 2"/>
    <w:basedOn w:val="907"/>
    <w:link w:val="1006"/>
    <w:uiPriority w:val="99"/>
    <w:unhideWhenUsed/>
    <w:pPr>
      <w:jc w:val="both"/>
    </w:pPr>
    <w:rPr>
      <w:sz w:val="24"/>
      <w:szCs w:val="24"/>
    </w:rPr>
  </w:style>
  <w:style w:type="character" w:styleId="1006" w:customStyle="1">
    <w:name w:val="Основной текст 2 Знак"/>
    <w:link w:val="1005"/>
    <w:uiPriority w:val="99"/>
    <w:rPr>
      <w:rFonts w:ascii="Times New Roman" w:hAnsi="Times New Roman" w:eastAsia="Times New Roman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2E8A4C-A0F6-4B1A-B07A-93B9D3820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</dc:title>
  <dc:creator>kucherenosova</dc:creator>
  <cp:lastModifiedBy>rudnevdv@ato.gov70.ru</cp:lastModifiedBy>
  <cp:revision>57</cp:revision>
  <dcterms:created xsi:type="dcterms:W3CDTF">2025-08-06T09:36:00Z</dcterms:created>
  <dcterms:modified xsi:type="dcterms:W3CDTF">2026-10-02T07:53:14Z</dcterms:modified>
</cp:coreProperties>
</file>